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78E7" w14:textId="7180A4CE" w:rsidR="004A5BF1" w:rsidRPr="004A5BF1" w:rsidRDefault="004A5BF1" w:rsidP="004A5BF1">
      <w:pPr>
        <w:spacing w:after="0" w:line="240" w:lineRule="auto"/>
        <w:jc w:val="both"/>
        <w:rPr>
          <w:rFonts w:ascii="Times New Roman" w:eastAsia="Times New Roman" w:hAnsi="Times New Roman" w:cs="Times New Roman"/>
          <w:b/>
          <w:sz w:val="24"/>
          <w:szCs w:val="44"/>
          <w:lang w:eastAsia="cs-CZ"/>
        </w:rPr>
      </w:pPr>
      <w:r>
        <w:rPr>
          <w:rFonts w:ascii="Times New Roman" w:eastAsia="Times New Roman" w:hAnsi="Times New Roman" w:cs="Times New Roman"/>
          <w:b/>
          <w:sz w:val="24"/>
          <w:szCs w:val="44"/>
          <w:lang w:eastAsia="cs-CZ"/>
        </w:rPr>
        <w:t xml:space="preserve">Příloha ZD č. </w:t>
      </w:r>
      <w:r w:rsidR="001572A2">
        <w:rPr>
          <w:rFonts w:ascii="Times New Roman" w:eastAsia="Times New Roman" w:hAnsi="Times New Roman" w:cs="Times New Roman"/>
          <w:b/>
          <w:sz w:val="24"/>
          <w:szCs w:val="44"/>
          <w:lang w:eastAsia="cs-CZ"/>
        </w:rPr>
        <w:t>4</w:t>
      </w:r>
    </w:p>
    <w:p w14:paraId="3326C6CB" w14:textId="52564F7F" w:rsidR="00B63076" w:rsidRPr="00B63076" w:rsidRDefault="00486F83" w:rsidP="00B63076">
      <w:pPr>
        <w:spacing w:after="0" w:line="240" w:lineRule="auto"/>
        <w:jc w:val="center"/>
        <w:rPr>
          <w:rFonts w:ascii="Times New Roman" w:eastAsia="Times New Roman" w:hAnsi="Times New Roman" w:cs="Times New Roman"/>
          <w:b/>
          <w:sz w:val="44"/>
          <w:szCs w:val="44"/>
          <w:lang w:eastAsia="cs-CZ"/>
        </w:rPr>
      </w:pPr>
      <w:r>
        <w:rPr>
          <w:rFonts w:ascii="Times New Roman" w:eastAsia="Times New Roman" w:hAnsi="Times New Roman" w:cs="Times New Roman"/>
          <w:b/>
          <w:sz w:val="44"/>
          <w:szCs w:val="44"/>
          <w:lang w:eastAsia="cs-CZ"/>
        </w:rPr>
        <w:t>K</w:t>
      </w:r>
      <w:r w:rsidR="00B63076" w:rsidRPr="00B63076">
        <w:rPr>
          <w:rFonts w:ascii="Times New Roman" w:eastAsia="Times New Roman" w:hAnsi="Times New Roman" w:cs="Times New Roman"/>
          <w:b/>
          <w:sz w:val="44"/>
          <w:szCs w:val="44"/>
          <w:lang w:eastAsia="cs-CZ"/>
        </w:rPr>
        <w:t>upní smlouva</w:t>
      </w:r>
    </w:p>
    <w:p w14:paraId="3326C6CC" w14:textId="77777777" w:rsidR="00B63076" w:rsidRPr="00B63076" w:rsidRDefault="00B63076" w:rsidP="00B63076">
      <w:pPr>
        <w:spacing w:after="0" w:line="240" w:lineRule="auto"/>
        <w:jc w:val="both"/>
        <w:rPr>
          <w:rFonts w:ascii="Times New Roman" w:eastAsia="Times New Roman" w:hAnsi="Times New Roman" w:cs="Times New Roman"/>
          <w:b/>
          <w:sz w:val="28"/>
          <w:szCs w:val="28"/>
          <w:lang w:eastAsia="cs-CZ"/>
        </w:rPr>
      </w:pPr>
    </w:p>
    <w:p w14:paraId="3326C6CD" w14:textId="036C2D19" w:rsidR="00B63076" w:rsidRPr="00B63076" w:rsidRDefault="00B63076" w:rsidP="00B63076">
      <w:pPr>
        <w:spacing w:after="0" w:line="240" w:lineRule="auto"/>
        <w:ind w:left="360"/>
        <w:jc w:val="center"/>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číslo smlouvy kupujícího: </w:t>
      </w:r>
    </w:p>
    <w:p w14:paraId="3326C6CE" w14:textId="34A2723D" w:rsidR="00B63076" w:rsidRPr="00B63076" w:rsidRDefault="00B63076" w:rsidP="00B63076">
      <w:pPr>
        <w:spacing w:after="0" w:line="240" w:lineRule="auto"/>
        <w:ind w:left="360"/>
        <w:jc w:val="center"/>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číslo smlouvy prodávajícího: </w:t>
      </w:r>
    </w:p>
    <w:p w14:paraId="3326C6CF" w14:textId="77777777" w:rsidR="00B63076" w:rsidRPr="00B63076" w:rsidRDefault="00B63076" w:rsidP="00B63076">
      <w:pPr>
        <w:spacing w:after="0" w:line="240" w:lineRule="auto"/>
        <w:ind w:left="360"/>
        <w:jc w:val="center"/>
        <w:rPr>
          <w:rFonts w:ascii="Times New Roman" w:eastAsia="Times New Roman" w:hAnsi="Times New Roman" w:cs="Times New Roman"/>
          <w:color w:val="000000"/>
          <w:sz w:val="24"/>
          <w:szCs w:val="24"/>
          <w:lang w:eastAsia="cs-CZ"/>
        </w:rPr>
      </w:pPr>
    </w:p>
    <w:p w14:paraId="3326C6D0" w14:textId="3CEF13C0" w:rsidR="00B63076" w:rsidRPr="00B63076" w:rsidRDefault="00B63076" w:rsidP="00B63076">
      <w:pPr>
        <w:spacing w:after="0" w:line="240" w:lineRule="auto"/>
        <w:ind w:left="360"/>
        <w:jc w:val="center"/>
        <w:rPr>
          <w:rFonts w:ascii="Times New Roman" w:eastAsia="Times New Roman" w:hAnsi="Times New Roman" w:cs="Times New Roman"/>
          <w:bCs/>
          <w:color w:val="000000"/>
          <w:sz w:val="20"/>
          <w:szCs w:val="20"/>
          <w:lang w:eastAsia="cs-CZ"/>
        </w:rPr>
      </w:pPr>
    </w:p>
    <w:p w14:paraId="3326C6D1" w14:textId="77777777" w:rsidR="00B63076" w:rsidRPr="00B63076" w:rsidRDefault="00B63076" w:rsidP="00B63076">
      <w:pPr>
        <w:spacing w:after="0" w:line="240" w:lineRule="auto"/>
        <w:ind w:left="4678"/>
        <w:jc w:val="center"/>
        <w:rPr>
          <w:rFonts w:ascii="Arial" w:eastAsia="Times New Roman" w:hAnsi="Arial" w:cs="Arial"/>
          <w:b/>
          <w:bCs/>
          <w:color w:val="000000"/>
          <w:sz w:val="24"/>
          <w:szCs w:val="20"/>
          <w:lang w:eastAsia="cs-CZ"/>
        </w:rPr>
      </w:pPr>
    </w:p>
    <w:p w14:paraId="3326C6D2" w14:textId="77777777" w:rsidR="00B63076" w:rsidRPr="00B63076" w:rsidRDefault="00B63076" w:rsidP="00B63076">
      <w:pPr>
        <w:spacing w:before="60" w:after="0" w:line="240" w:lineRule="auto"/>
        <w:jc w:val="center"/>
        <w:rPr>
          <w:rFonts w:ascii="Times New Roman" w:eastAsia="Times New Roman" w:hAnsi="Times New Roman" w:cs="Times New Roman"/>
          <w:b/>
          <w:bCs/>
          <w:color w:val="000000"/>
          <w:sz w:val="24"/>
          <w:szCs w:val="24"/>
          <w:lang w:val="x-none" w:eastAsia="x-none"/>
        </w:rPr>
      </w:pPr>
      <w:r w:rsidRPr="00B63076">
        <w:rPr>
          <w:rFonts w:ascii="Times New Roman" w:eastAsia="Times New Roman" w:hAnsi="Times New Roman" w:cs="Times New Roman"/>
          <w:b/>
          <w:bCs/>
          <w:color w:val="000000"/>
          <w:sz w:val="24"/>
          <w:szCs w:val="24"/>
          <w:lang w:val="x-none" w:eastAsia="x-none"/>
        </w:rPr>
        <w:t>Čl. 1</w:t>
      </w:r>
    </w:p>
    <w:p w14:paraId="3326C6D3" w14:textId="77777777" w:rsidR="00B63076" w:rsidRPr="00B63076" w:rsidRDefault="00B63076" w:rsidP="00B63076">
      <w:pPr>
        <w:spacing w:after="0" w:line="240" w:lineRule="auto"/>
        <w:jc w:val="center"/>
        <w:rPr>
          <w:rFonts w:ascii="Times New Roman" w:eastAsia="Times New Roman" w:hAnsi="Times New Roman" w:cs="Times New Roman"/>
          <w:b/>
          <w:bCs/>
          <w:color w:val="000000"/>
          <w:sz w:val="24"/>
          <w:szCs w:val="24"/>
          <w:lang w:eastAsia="cs-CZ"/>
        </w:rPr>
      </w:pPr>
      <w:r w:rsidRPr="00B63076">
        <w:rPr>
          <w:rFonts w:ascii="Times New Roman" w:eastAsia="Times New Roman" w:hAnsi="Times New Roman" w:cs="Times New Roman"/>
          <w:b/>
          <w:bCs/>
          <w:color w:val="000000"/>
          <w:sz w:val="24"/>
          <w:szCs w:val="24"/>
          <w:lang w:eastAsia="cs-CZ"/>
        </w:rPr>
        <w:t>Smluvní strany</w:t>
      </w:r>
    </w:p>
    <w:p w14:paraId="3326C6D4" w14:textId="77777777"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p>
    <w:p w14:paraId="3326C6D5" w14:textId="77777777" w:rsidR="00B63076" w:rsidRPr="00B63076" w:rsidRDefault="00B63076" w:rsidP="00B63076">
      <w:pPr>
        <w:spacing w:after="0" w:line="240" w:lineRule="auto"/>
        <w:jc w:val="both"/>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Prodávající:</w:t>
      </w:r>
      <w:r w:rsidRPr="00B63076">
        <w:rPr>
          <w:rFonts w:ascii="Times New Roman" w:eastAsia="Times New Roman" w:hAnsi="Times New Roman" w:cs="Times New Roman"/>
          <w:b/>
          <w:color w:val="000000"/>
          <w:sz w:val="24"/>
          <w:szCs w:val="24"/>
          <w:lang w:eastAsia="cs-CZ"/>
        </w:rPr>
        <w:tab/>
      </w:r>
      <w:r w:rsidRPr="00B63076">
        <w:rPr>
          <w:rFonts w:ascii="Times New Roman" w:eastAsia="Times New Roman" w:hAnsi="Times New Roman" w:cs="Times New Roman"/>
          <w:b/>
          <w:color w:val="000000"/>
          <w:sz w:val="24"/>
          <w:szCs w:val="24"/>
          <w:lang w:eastAsia="cs-CZ"/>
        </w:rPr>
        <w:tab/>
      </w:r>
    </w:p>
    <w:p w14:paraId="3326C6D6" w14:textId="621AD44A" w:rsidR="00B63076" w:rsidRPr="00B63076" w:rsidRDefault="00B63076" w:rsidP="00B63076">
      <w:p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Obchodní firma:</w:t>
      </w:r>
      <w:r w:rsidRPr="00B63076">
        <w:rPr>
          <w:rFonts w:ascii="Times New Roman" w:eastAsia="Times New Roman" w:hAnsi="Times New Roman" w:cs="Times New Roman"/>
          <w:bCs/>
          <w:color w:val="000000"/>
          <w:sz w:val="24"/>
          <w:szCs w:val="24"/>
          <w:lang w:eastAsia="cs-CZ"/>
        </w:rPr>
        <w:tab/>
      </w:r>
    </w:p>
    <w:p w14:paraId="3326C6D7" w14:textId="3A4F061B"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Sídlo:</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r>
    </w:p>
    <w:p w14:paraId="3326C6D8" w14:textId="068C3A42"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Zastoupený:</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r>
    </w:p>
    <w:p w14:paraId="3326C6D9" w14:textId="1F4A6226"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IČ, DIČ: </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r>
    </w:p>
    <w:p w14:paraId="3326C6DA" w14:textId="46DDF94E"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Bankovní spojení: </w:t>
      </w:r>
      <w:r w:rsidRPr="00B63076">
        <w:rPr>
          <w:rFonts w:ascii="Times New Roman" w:eastAsia="Times New Roman" w:hAnsi="Times New Roman" w:cs="Times New Roman"/>
          <w:color w:val="000000"/>
          <w:sz w:val="24"/>
          <w:szCs w:val="24"/>
          <w:lang w:eastAsia="cs-CZ"/>
        </w:rPr>
        <w:tab/>
      </w:r>
    </w:p>
    <w:p w14:paraId="3326C6DB" w14:textId="0BB09B9C" w:rsidR="00B63076" w:rsidRPr="00B63076" w:rsidRDefault="00B63076" w:rsidP="00B63076">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 xml:space="preserve">Číslo účtu: </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p>
    <w:p w14:paraId="3326C6DC" w14:textId="2549FEDD" w:rsidR="00B63076" w:rsidRPr="00B63076" w:rsidRDefault="00B63076" w:rsidP="00B63076">
      <w:p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Společnost je zapsána v OR</w:t>
      </w:r>
    </w:p>
    <w:p w14:paraId="3326C6DD" w14:textId="77777777" w:rsidR="00B63076" w:rsidRPr="00B63076" w:rsidRDefault="00B63076" w:rsidP="00B63076">
      <w:pPr>
        <w:spacing w:after="0" w:line="240" w:lineRule="auto"/>
        <w:ind w:left="1416"/>
        <w:jc w:val="both"/>
        <w:rPr>
          <w:rFonts w:ascii="Times New Roman" w:eastAsia="Times New Roman" w:hAnsi="Times New Roman" w:cs="Times New Roman"/>
          <w:color w:val="000000"/>
          <w:sz w:val="24"/>
          <w:szCs w:val="24"/>
          <w:lang w:eastAsia="cs-CZ"/>
        </w:rPr>
      </w:pPr>
    </w:p>
    <w:p w14:paraId="3326C6DE" w14:textId="77777777" w:rsidR="00B63076" w:rsidRPr="00B63076" w:rsidRDefault="00B63076" w:rsidP="00B63076">
      <w:pPr>
        <w:spacing w:after="0" w:line="240" w:lineRule="auto"/>
        <w:ind w:left="1416"/>
        <w:jc w:val="both"/>
        <w:rPr>
          <w:rFonts w:ascii="Times New Roman" w:eastAsia="Times New Roman" w:hAnsi="Times New Roman" w:cs="Times New Roman"/>
          <w:color w:val="000000"/>
          <w:sz w:val="24"/>
          <w:szCs w:val="24"/>
          <w:lang w:eastAsia="cs-CZ"/>
        </w:rPr>
      </w:pPr>
    </w:p>
    <w:p w14:paraId="3326C6DF" w14:textId="77777777" w:rsidR="00B63076" w:rsidRPr="00B63076" w:rsidRDefault="00B63076" w:rsidP="00B63076">
      <w:pPr>
        <w:spacing w:after="0" w:line="240" w:lineRule="auto"/>
        <w:jc w:val="both"/>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Kupující:</w:t>
      </w:r>
    </w:p>
    <w:p w14:paraId="3326C6E0" w14:textId="77777777" w:rsidR="00B63076" w:rsidRPr="00B63076" w:rsidRDefault="00B63076" w:rsidP="00B63076">
      <w:p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Obchodní firma:</w:t>
      </w:r>
      <w:r w:rsidRPr="00B63076">
        <w:rPr>
          <w:rFonts w:ascii="Times New Roman" w:eastAsia="Times New Roman" w:hAnsi="Times New Roman" w:cs="Times New Roman"/>
          <w:bCs/>
          <w:color w:val="000000"/>
          <w:sz w:val="24"/>
          <w:szCs w:val="24"/>
          <w:lang w:eastAsia="cs-CZ"/>
        </w:rPr>
        <w:tab/>
        <w:t>Liberecká IS, a.s.</w:t>
      </w:r>
    </w:p>
    <w:p w14:paraId="3326C6E1" w14:textId="77777777"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Sídlo:</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t>Mrštíkova 3, 461 71 Liberec III</w:t>
      </w:r>
    </w:p>
    <w:p w14:paraId="3326C6E2" w14:textId="56CCAC97"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Zastoupený:</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t xml:space="preserve">Ing. Jaroslavem Burešem, MBA, </w:t>
      </w:r>
      <w:r w:rsidR="004F362C">
        <w:rPr>
          <w:rFonts w:ascii="Times New Roman" w:eastAsia="Times New Roman" w:hAnsi="Times New Roman" w:cs="Times New Roman"/>
          <w:color w:val="000000"/>
          <w:sz w:val="24"/>
          <w:szCs w:val="24"/>
          <w:lang w:eastAsia="cs-CZ"/>
        </w:rPr>
        <w:t xml:space="preserve">statutárním </w:t>
      </w:r>
      <w:r w:rsidRPr="00B63076">
        <w:rPr>
          <w:rFonts w:ascii="Times New Roman" w:eastAsia="Times New Roman" w:hAnsi="Times New Roman" w:cs="Times New Roman"/>
          <w:color w:val="000000"/>
          <w:sz w:val="24"/>
          <w:szCs w:val="24"/>
          <w:lang w:eastAsia="cs-CZ"/>
        </w:rPr>
        <w:t>ředitelem společnosti</w:t>
      </w:r>
    </w:p>
    <w:p w14:paraId="3326C6E3" w14:textId="77777777"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IČ, DIČ: </w:t>
      </w:r>
      <w:r w:rsidRPr="00B63076">
        <w:rPr>
          <w:rFonts w:ascii="Times New Roman" w:eastAsia="Times New Roman" w:hAnsi="Times New Roman" w:cs="Times New Roman"/>
          <w:color w:val="000000"/>
          <w:sz w:val="24"/>
          <w:szCs w:val="24"/>
          <w:lang w:eastAsia="cs-CZ"/>
        </w:rPr>
        <w:tab/>
      </w:r>
      <w:r w:rsidRPr="00B63076">
        <w:rPr>
          <w:rFonts w:ascii="Times New Roman" w:eastAsia="Times New Roman" w:hAnsi="Times New Roman" w:cs="Times New Roman"/>
          <w:color w:val="000000"/>
          <w:sz w:val="24"/>
          <w:szCs w:val="24"/>
          <w:lang w:eastAsia="cs-CZ"/>
        </w:rPr>
        <w:tab/>
        <w:t>25450131, CZ25450131</w:t>
      </w:r>
    </w:p>
    <w:p w14:paraId="3326C6E4" w14:textId="1BF94753" w:rsidR="00B63076" w:rsidRPr="00B63076" w:rsidRDefault="00B63076" w:rsidP="00B63076">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Bankovní spojení: </w:t>
      </w:r>
      <w:r w:rsidRPr="00B63076">
        <w:rPr>
          <w:rFonts w:ascii="Times New Roman" w:eastAsia="Times New Roman" w:hAnsi="Times New Roman" w:cs="Times New Roman"/>
          <w:color w:val="000000"/>
          <w:sz w:val="24"/>
          <w:szCs w:val="24"/>
          <w:lang w:eastAsia="cs-CZ"/>
        </w:rPr>
        <w:tab/>
      </w:r>
      <w:r w:rsidR="007D16A8">
        <w:rPr>
          <w:rFonts w:ascii="Times New Roman" w:eastAsia="Times New Roman" w:hAnsi="Times New Roman" w:cs="Times New Roman"/>
          <w:color w:val="000000"/>
          <w:sz w:val="24"/>
          <w:szCs w:val="24"/>
          <w:lang w:eastAsia="cs-CZ"/>
        </w:rPr>
        <w:t xml:space="preserve">ČSOB </w:t>
      </w:r>
      <w:r w:rsidRPr="00B63076">
        <w:rPr>
          <w:rFonts w:ascii="Times New Roman" w:eastAsia="Times New Roman" w:hAnsi="Times New Roman" w:cs="Times New Roman"/>
          <w:color w:val="000000"/>
          <w:sz w:val="24"/>
          <w:szCs w:val="24"/>
          <w:lang w:eastAsia="cs-CZ"/>
        </w:rPr>
        <w:t>a.s.</w:t>
      </w:r>
    </w:p>
    <w:p w14:paraId="3326C6E5" w14:textId="06D86392" w:rsidR="00B63076" w:rsidRPr="00B63076" w:rsidRDefault="00B63076" w:rsidP="00B63076">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 xml:space="preserve">Číslo účtu: </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bookmarkStart w:id="0" w:name="OLE_LINK11"/>
      <w:bookmarkStart w:id="1" w:name="OLE_LINK12"/>
      <w:r w:rsidR="007D16A8" w:rsidRPr="007D16A8">
        <w:rPr>
          <w:rFonts w:ascii="Times New Roman" w:eastAsia="Times New Roman" w:hAnsi="Times New Roman" w:cs="Times New Roman"/>
          <w:sz w:val="24"/>
          <w:szCs w:val="24"/>
          <w:lang w:eastAsia="cs-CZ"/>
        </w:rPr>
        <w:t>267710810</w:t>
      </w:r>
      <w:bookmarkEnd w:id="0"/>
      <w:bookmarkEnd w:id="1"/>
      <w:r w:rsidR="007D16A8" w:rsidRPr="007D16A8">
        <w:rPr>
          <w:rFonts w:ascii="Times New Roman" w:eastAsia="Times New Roman" w:hAnsi="Times New Roman" w:cs="Times New Roman"/>
          <w:sz w:val="24"/>
          <w:szCs w:val="24"/>
          <w:lang w:eastAsia="cs-CZ"/>
        </w:rPr>
        <w:t>/0300</w:t>
      </w:r>
    </w:p>
    <w:p w14:paraId="3326C6E6" w14:textId="77777777" w:rsidR="00B63076" w:rsidRPr="00B63076" w:rsidRDefault="00B63076" w:rsidP="00B63076">
      <w:p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 xml:space="preserve">Společnost je zapsána v OR vedeném u Krajského soudu v Ústí nad Labem, oddíl B, vložka 1429. </w:t>
      </w:r>
    </w:p>
    <w:p w14:paraId="3326C6E7" w14:textId="77777777" w:rsidR="00B63076" w:rsidRPr="00B63076" w:rsidRDefault="00B63076" w:rsidP="00B63076">
      <w:pPr>
        <w:spacing w:after="0" w:line="240" w:lineRule="auto"/>
        <w:jc w:val="both"/>
        <w:rPr>
          <w:rFonts w:ascii="Times New Roman" w:eastAsia="Times New Roman" w:hAnsi="Times New Roman" w:cs="Times New Roman"/>
          <w:sz w:val="24"/>
          <w:szCs w:val="24"/>
          <w:lang w:eastAsia="cs-CZ"/>
        </w:rPr>
      </w:pPr>
    </w:p>
    <w:p w14:paraId="3326C6E8" w14:textId="77777777" w:rsidR="00B63076" w:rsidRPr="00B63076" w:rsidRDefault="00B63076" w:rsidP="00B63076">
      <w:pPr>
        <w:spacing w:after="0" w:line="240" w:lineRule="auto"/>
        <w:jc w:val="both"/>
        <w:rPr>
          <w:rFonts w:ascii="Times New Roman" w:eastAsia="Times New Roman" w:hAnsi="Times New Roman" w:cs="Times New Roman"/>
          <w:sz w:val="24"/>
          <w:szCs w:val="24"/>
          <w:lang w:eastAsia="cs-CZ"/>
        </w:rPr>
      </w:pPr>
    </w:p>
    <w:p w14:paraId="3326C6E9" w14:textId="77777777" w:rsidR="00B63076" w:rsidRPr="00B63076" w:rsidRDefault="00B63076" w:rsidP="00B63076">
      <w:pPr>
        <w:spacing w:before="60" w:after="0" w:line="240" w:lineRule="auto"/>
        <w:jc w:val="center"/>
        <w:rPr>
          <w:rFonts w:ascii="Times New Roman" w:eastAsia="Times New Roman" w:hAnsi="Times New Roman" w:cs="Times New Roman"/>
          <w:b/>
          <w:bCs/>
          <w:color w:val="000000"/>
          <w:sz w:val="24"/>
          <w:szCs w:val="24"/>
          <w:lang w:val="x-none" w:eastAsia="x-none"/>
        </w:rPr>
      </w:pPr>
      <w:r w:rsidRPr="00B63076">
        <w:rPr>
          <w:rFonts w:ascii="Times New Roman" w:eastAsia="Times New Roman" w:hAnsi="Times New Roman" w:cs="Times New Roman"/>
          <w:b/>
          <w:bCs/>
          <w:color w:val="000000"/>
          <w:sz w:val="24"/>
          <w:szCs w:val="24"/>
          <w:lang w:val="x-none" w:eastAsia="x-none"/>
        </w:rPr>
        <w:t>Čl. 2</w:t>
      </w:r>
    </w:p>
    <w:p w14:paraId="3326C6EA" w14:textId="712BCD07" w:rsidR="00B63076" w:rsidRPr="00D662D8" w:rsidRDefault="00B63076" w:rsidP="00D662D8">
      <w:pPr>
        <w:pStyle w:val="Odstavecseseznamem"/>
        <w:spacing w:after="0" w:line="240" w:lineRule="auto"/>
        <w:jc w:val="center"/>
        <w:rPr>
          <w:rFonts w:ascii="Times New Roman" w:eastAsia="Times New Roman" w:hAnsi="Times New Roman" w:cs="Times New Roman"/>
          <w:b/>
          <w:color w:val="000000"/>
          <w:sz w:val="24"/>
          <w:szCs w:val="24"/>
          <w:lang w:eastAsia="cs-CZ"/>
        </w:rPr>
      </w:pPr>
      <w:r w:rsidRPr="00D662D8">
        <w:rPr>
          <w:rFonts w:ascii="Times New Roman" w:eastAsia="Times New Roman" w:hAnsi="Times New Roman" w:cs="Times New Roman"/>
          <w:b/>
          <w:color w:val="000000"/>
          <w:sz w:val="24"/>
          <w:szCs w:val="24"/>
          <w:lang w:eastAsia="cs-CZ"/>
        </w:rPr>
        <w:t>Předmět plnění</w:t>
      </w:r>
    </w:p>
    <w:p w14:paraId="3326C6EB" w14:textId="36AF1E0D" w:rsidR="00B63076" w:rsidRPr="00D662D8" w:rsidRDefault="00B63076" w:rsidP="00F60A31">
      <w:pPr>
        <w:pStyle w:val="Odstavecseseznamem"/>
        <w:numPr>
          <w:ilvl w:val="0"/>
          <w:numId w:val="15"/>
        </w:numPr>
        <w:suppressAutoHyphens/>
        <w:spacing w:after="0" w:line="240" w:lineRule="auto"/>
        <w:jc w:val="both"/>
        <w:rPr>
          <w:rFonts w:ascii="Times New Roman" w:eastAsia="Times New Roman" w:hAnsi="Times New Roman" w:cs="Times New Roman"/>
          <w:color w:val="000000"/>
          <w:sz w:val="24"/>
          <w:szCs w:val="24"/>
          <w:lang w:eastAsia="cs-CZ"/>
        </w:rPr>
      </w:pPr>
      <w:r w:rsidRPr="00D662D8">
        <w:rPr>
          <w:rFonts w:ascii="Times New Roman" w:eastAsia="Times New Roman" w:hAnsi="Times New Roman" w:cs="Times New Roman"/>
          <w:color w:val="000000"/>
          <w:sz w:val="24"/>
          <w:szCs w:val="24"/>
          <w:lang w:eastAsia="cs-CZ"/>
        </w:rPr>
        <w:t xml:space="preserve">Předmětem této smlouvy je </w:t>
      </w:r>
      <w:r w:rsidR="00FC71A4" w:rsidRPr="00D662D8">
        <w:rPr>
          <w:rFonts w:ascii="Times New Roman" w:eastAsia="Times New Roman" w:hAnsi="Times New Roman" w:cs="Times New Roman"/>
          <w:color w:val="000000"/>
          <w:sz w:val="24"/>
          <w:szCs w:val="24"/>
          <w:lang w:eastAsia="cs-CZ"/>
        </w:rPr>
        <w:t xml:space="preserve">nákup </w:t>
      </w:r>
      <w:r w:rsidR="000D0158">
        <w:rPr>
          <w:rFonts w:ascii="Times New Roman" w:eastAsia="Times New Roman" w:hAnsi="Times New Roman" w:cs="Times New Roman"/>
          <w:color w:val="000000"/>
          <w:sz w:val="24"/>
          <w:szCs w:val="24"/>
          <w:lang w:eastAsia="cs-CZ"/>
        </w:rPr>
        <w:t>6</w:t>
      </w:r>
      <w:r w:rsidR="007F01BA" w:rsidRPr="00D662D8">
        <w:rPr>
          <w:rFonts w:ascii="Times New Roman" w:eastAsia="Times New Roman" w:hAnsi="Times New Roman" w:cs="Times New Roman"/>
          <w:color w:val="000000"/>
          <w:sz w:val="24"/>
          <w:szCs w:val="24"/>
          <w:lang w:eastAsia="cs-CZ"/>
        </w:rPr>
        <w:t xml:space="preserve"> </w:t>
      </w:r>
      <w:proofErr w:type="spellStart"/>
      <w:r w:rsidR="007F01BA" w:rsidRPr="00D662D8">
        <w:rPr>
          <w:rFonts w:ascii="Times New Roman" w:eastAsia="Times New Roman" w:hAnsi="Times New Roman" w:cs="Times New Roman"/>
          <w:color w:val="000000"/>
          <w:sz w:val="24"/>
          <w:szCs w:val="24"/>
          <w:lang w:eastAsia="cs-CZ"/>
        </w:rPr>
        <w:t>switchů</w:t>
      </w:r>
      <w:proofErr w:type="spellEnd"/>
      <w:r w:rsidR="007F01BA" w:rsidRPr="00D662D8">
        <w:rPr>
          <w:rFonts w:ascii="Times New Roman" w:eastAsia="Times New Roman" w:hAnsi="Times New Roman" w:cs="Times New Roman"/>
          <w:color w:val="000000"/>
          <w:sz w:val="24"/>
          <w:szCs w:val="24"/>
          <w:lang w:eastAsia="cs-CZ"/>
        </w:rPr>
        <w:t xml:space="preserve"> (</w:t>
      </w:r>
      <w:proofErr w:type="spellStart"/>
      <w:r w:rsidR="00F60A31" w:rsidRPr="00F60A31">
        <w:rPr>
          <w:rFonts w:ascii="Times New Roman" w:eastAsia="Times New Roman" w:hAnsi="Times New Roman" w:cs="Times New Roman"/>
          <w:color w:val="000000"/>
          <w:sz w:val="24"/>
          <w:szCs w:val="24"/>
          <w:lang w:eastAsia="cs-CZ"/>
        </w:rPr>
        <w:t>Switch</w:t>
      </w:r>
      <w:proofErr w:type="spellEnd"/>
      <w:r w:rsidR="00F60A31" w:rsidRPr="00F60A31">
        <w:rPr>
          <w:rFonts w:ascii="Times New Roman" w:eastAsia="Times New Roman" w:hAnsi="Times New Roman" w:cs="Times New Roman"/>
          <w:color w:val="000000"/>
          <w:sz w:val="24"/>
          <w:szCs w:val="24"/>
          <w:lang w:eastAsia="cs-CZ"/>
        </w:rPr>
        <w:t xml:space="preserve"> 48psfp+</w:t>
      </w:r>
      <w:r w:rsidR="007F01BA" w:rsidRPr="00F60A31">
        <w:rPr>
          <w:rFonts w:ascii="Times New Roman" w:eastAsia="Times New Roman" w:hAnsi="Times New Roman" w:cs="Times New Roman"/>
          <w:color w:val="000000"/>
          <w:sz w:val="24"/>
          <w:szCs w:val="24"/>
          <w:lang w:eastAsia="cs-CZ"/>
        </w:rPr>
        <w:t>)</w:t>
      </w:r>
      <w:r w:rsidR="000D0158">
        <w:rPr>
          <w:rFonts w:ascii="Times New Roman" w:eastAsia="Times New Roman" w:hAnsi="Times New Roman" w:cs="Times New Roman"/>
          <w:color w:val="000000"/>
          <w:sz w:val="24"/>
          <w:szCs w:val="24"/>
          <w:lang w:eastAsia="cs-CZ"/>
        </w:rPr>
        <w:t>,</w:t>
      </w:r>
      <w:r w:rsidR="007F01BA" w:rsidRPr="00D662D8">
        <w:rPr>
          <w:rFonts w:ascii="Times New Roman" w:eastAsia="Times New Roman" w:hAnsi="Times New Roman" w:cs="Times New Roman"/>
          <w:color w:val="000000"/>
          <w:sz w:val="24"/>
          <w:szCs w:val="24"/>
          <w:lang w:eastAsia="cs-CZ"/>
        </w:rPr>
        <w:t xml:space="preserve"> </w:t>
      </w:r>
      <w:r w:rsidR="000D0158">
        <w:rPr>
          <w:rFonts w:ascii="Times New Roman" w:eastAsia="Times New Roman" w:hAnsi="Times New Roman" w:cs="Times New Roman"/>
          <w:color w:val="000000"/>
          <w:sz w:val="24"/>
          <w:szCs w:val="24"/>
          <w:lang w:eastAsia="cs-CZ"/>
        </w:rPr>
        <w:t>6</w:t>
      </w:r>
      <w:r w:rsidR="00966D03">
        <w:rPr>
          <w:rFonts w:ascii="Times New Roman" w:eastAsia="Times New Roman" w:hAnsi="Times New Roman" w:cs="Times New Roman"/>
          <w:color w:val="000000"/>
          <w:sz w:val="24"/>
          <w:szCs w:val="24"/>
          <w:lang w:eastAsia="cs-CZ"/>
        </w:rPr>
        <w:t xml:space="preserve"> </w:t>
      </w:r>
      <w:r w:rsidR="007F01BA" w:rsidRPr="00D662D8">
        <w:rPr>
          <w:rFonts w:ascii="Times New Roman" w:eastAsia="Times New Roman" w:hAnsi="Times New Roman" w:cs="Times New Roman"/>
          <w:color w:val="000000"/>
          <w:sz w:val="24"/>
          <w:szCs w:val="24"/>
          <w:lang w:eastAsia="cs-CZ"/>
        </w:rPr>
        <w:t>modulů (</w:t>
      </w:r>
      <w:r w:rsidR="00F60A31" w:rsidRPr="00F60A31">
        <w:rPr>
          <w:rFonts w:ascii="Times New Roman" w:eastAsia="Times New Roman" w:hAnsi="Times New Roman" w:cs="Times New Roman"/>
          <w:color w:val="000000"/>
          <w:sz w:val="24"/>
          <w:szCs w:val="24"/>
          <w:lang w:eastAsia="cs-CZ"/>
        </w:rPr>
        <w:t>Modul SFP+</w:t>
      </w:r>
      <w:r w:rsidR="007F01BA" w:rsidRPr="00D662D8">
        <w:rPr>
          <w:rFonts w:ascii="Times New Roman" w:eastAsia="Times New Roman" w:hAnsi="Times New Roman" w:cs="Times New Roman"/>
          <w:color w:val="000000"/>
          <w:sz w:val="24"/>
          <w:szCs w:val="24"/>
          <w:lang w:eastAsia="cs-CZ"/>
        </w:rPr>
        <w:t xml:space="preserve"> , </w:t>
      </w:r>
      <w:r w:rsidR="00F60A31" w:rsidRPr="00F60A31">
        <w:rPr>
          <w:rFonts w:ascii="Times New Roman" w:eastAsia="Times New Roman" w:hAnsi="Times New Roman" w:cs="Times New Roman"/>
          <w:color w:val="000000"/>
          <w:sz w:val="24"/>
          <w:szCs w:val="24"/>
          <w:lang w:eastAsia="cs-CZ"/>
        </w:rPr>
        <w:t>850</w:t>
      </w:r>
      <w:r w:rsidR="00F60A31">
        <w:rPr>
          <w:rFonts w:ascii="Times New Roman" w:eastAsia="Times New Roman" w:hAnsi="Times New Roman" w:cs="Times New Roman"/>
          <w:color w:val="000000"/>
          <w:sz w:val="24"/>
          <w:szCs w:val="24"/>
          <w:lang w:eastAsia="cs-CZ"/>
        </w:rPr>
        <w:t xml:space="preserve">nm VCSEL, </w:t>
      </w:r>
      <w:proofErr w:type="spellStart"/>
      <w:r w:rsidR="00F60A31">
        <w:rPr>
          <w:rFonts w:ascii="Times New Roman" w:eastAsia="Times New Roman" w:hAnsi="Times New Roman" w:cs="Times New Roman"/>
          <w:color w:val="000000"/>
          <w:sz w:val="24"/>
          <w:szCs w:val="24"/>
          <w:lang w:eastAsia="cs-CZ"/>
        </w:rPr>
        <w:t>multimode</w:t>
      </w:r>
      <w:proofErr w:type="spellEnd"/>
      <w:r w:rsidR="00F60A31">
        <w:rPr>
          <w:rFonts w:ascii="Times New Roman" w:eastAsia="Times New Roman" w:hAnsi="Times New Roman" w:cs="Times New Roman"/>
          <w:color w:val="000000"/>
          <w:sz w:val="24"/>
          <w:szCs w:val="24"/>
          <w:lang w:eastAsia="cs-CZ"/>
        </w:rPr>
        <w:t>, dosah 300m</w:t>
      </w:r>
      <w:r w:rsidR="00F60A31" w:rsidRPr="00F60A31">
        <w:rPr>
          <w:rFonts w:ascii="Times New Roman" w:eastAsia="Times New Roman" w:hAnsi="Times New Roman" w:cs="Times New Roman"/>
          <w:color w:val="000000"/>
          <w:sz w:val="24"/>
          <w:szCs w:val="24"/>
          <w:lang w:eastAsia="cs-CZ"/>
        </w:rPr>
        <w:t xml:space="preserve">, kompatibilní se </w:t>
      </w:r>
      <w:proofErr w:type="spellStart"/>
      <w:r w:rsidR="00F60A31" w:rsidRPr="00F60A31">
        <w:rPr>
          <w:rFonts w:ascii="Times New Roman" w:eastAsia="Times New Roman" w:hAnsi="Times New Roman" w:cs="Times New Roman"/>
          <w:color w:val="000000"/>
          <w:sz w:val="24"/>
          <w:szCs w:val="24"/>
          <w:lang w:eastAsia="cs-CZ"/>
        </w:rPr>
        <w:t>switchem</w:t>
      </w:r>
      <w:proofErr w:type="spellEnd"/>
      <w:r w:rsidR="00F60A31" w:rsidRPr="00F60A31">
        <w:rPr>
          <w:rFonts w:ascii="Times New Roman" w:eastAsia="Times New Roman" w:hAnsi="Times New Roman" w:cs="Times New Roman"/>
          <w:color w:val="000000"/>
          <w:sz w:val="24"/>
          <w:szCs w:val="24"/>
          <w:lang w:eastAsia="cs-CZ"/>
        </w:rPr>
        <w:t xml:space="preserve"> 48psfp+</w:t>
      </w:r>
      <w:r w:rsidR="007F01BA" w:rsidRPr="00D662D8">
        <w:rPr>
          <w:rFonts w:ascii="Times New Roman" w:eastAsia="Times New Roman" w:hAnsi="Times New Roman" w:cs="Times New Roman"/>
          <w:color w:val="000000"/>
          <w:sz w:val="24"/>
          <w:szCs w:val="24"/>
          <w:lang w:eastAsia="cs-CZ"/>
        </w:rPr>
        <w:t>)</w:t>
      </w:r>
      <w:r w:rsidR="00FC71A4" w:rsidRPr="00D662D8">
        <w:rPr>
          <w:rFonts w:ascii="Times New Roman" w:eastAsia="Times New Roman" w:hAnsi="Times New Roman" w:cs="Times New Roman"/>
          <w:color w:val="000000"/>
          <w:sz w:val="24"/>
          <w:szCs w:val="24"/>
          <w:lang w:eastAsia="cs-CZ"/>
        </w:rPr>
        <w:t xml:space="preserve"> </w:t>
      </w:r>
      <w:r w:rsidR="000D0158">
        <w:rPr>
          <w:rFonts w:ascii="Times New Roman" w:eastAsia="Times New Roman" w:hAnsi="Times New Roman" w:cs="Times New Roman"/>
          <w:color w:val="000000"/>
          <w:sz w:val="24"/>
          <w:szCs w:val="24"/>
          <w:lang w:eastAsia="cs-CZ"/>
        </w:rPr>
        <w:t>a</w:t>
      </w:r>
      <w:r w:rsidR="000D0158" w:rsidRPr="00D662D8">
        <w:rPr>
          <w:rFonts w:ascii="Times New Roman" w:eastAsia="Times New Roman" w:hAnsi="Times New Roman" w:cs="Times New Roman"/>
          <w:color w:val="000000"/>
          <w:sz w:val="24"/>
          <w:szCs w:val="24"/>
          <w:lang w:eastAsia="cs-CZ"/>
        </w:rPr>
        <w:t xml:space="preserve"> </w:t>
      </w:r>
      <w:r w:rsidR="000D0158">
        <w:rPr>
          <w:rFonts w:ascii="Times New Roman" w:eastAsia="Times New Roman" w:hAnsi="Times New Roman" w:cs="Times New Roman"/>
          <w:color w:val="000000"/>
          <w:sz w:val="24"/>
          <w:szCs w:val="24"/>
          <w:lang w:eastAsia="cs-CZ"/>
        </w:rPr>
        <w:t xml:space="preserve">               6 </w:t>
      </w:r>
      <w:r w:rsidR="000D0158" w:rsidRPr="00D662D8">
        <w:rPr>
          <w:rFonts w:ascii="Times New Roman" w:eastAsia="Times New Roman" w:hAnsi="Times New Roman" w:cs="Times New Roman"/>
          <w:color w:val="000000"/>
          <w:sz w:val="24"/>
          <w:szCs w:val="24"/>
          <w:lang w:eastAsia="cs-CZ"/>
        </w:rPr>
        <w:t>modulů (</w:t>
      </w:r>
      <w:r w:rsidR="000D0158" w:rsidRPr="00F60A31">
        <w:rPr>
          <w:rFonts w:ascii="Times New Roman" w:eastAsia="Times New Roman" w:hAnsi="Times New Roman" w:cs="Times New Roman"/>
          <w:color w:val="000000"/>
          <w:sz w:val="24"/>
          <w:szCs w:val="24"/>
          <w:lang w:eastAsia="cs-CZ"/>
        </w:rPr>
        <w:t>Modul SFP+</w:t>
      </w:r>
      <w:r w:rsidR="000D0158" w:rsidRPr="00D662D8">
        <w:rPr>
          <w:rFonts w:ascii="Times New Roman" w:eastAsia="Times New Roman" w:hAnsi="Times New Roman" w:cs="Times New Roman"/>
          <w:color w:val="000000"/>
          <w:sz w:val="24"/>
          <w:szCs w:val="24"/>
          <w:lang w:eastAsia="cs-CZ"/>
        </w:rPr>
        <w:t xml:space="preserve"> , </w:t>
      </w:r>
      <w:r w:rsidR="000D0158">
        <w:rPr>
          <w:rFonts w:ascii="Times New Roman" w:eastAsia="Times New Roman" w:hAnsi="Times New Roman" w:cs="Times New Roman"/>
          <w:color w:val="000000"/>
          <w:sz w:val="24"/>
          <w:szCs w:val="24"/>
          <w:lang w:eastAsia="cs-CZ"/>
        </w:rPr>
        <w:t xml:space="preserve">1310nm VCSEL, </w:t>
      </w:r>
      <w:proofErr w:type="spellStart"/>
      <w:r w:rsidR="000D0158">
        <w:rPr>
          <w:rFonts w:ascii="Times New Roman" w:eastAsia="Times New Roman" w:hAnsi="Times New Roman" w:cs="Times New Roman"/>
          <w:color w:val="000000"/>
          <w:sz w:val="24"/>
          <w:szCs w:val="24"/>
          <w:lang w:eastAsia="cs-CZ"/>
        </w:rPr>
        <w:t>singl</w:t>
      </w:r>
      <w:r w:rsidR="009327B8">
        <w:rPr>
          <w:rFonts w:ascii="Times New Roman" w:eastAsia="Times New Roman" w:hAnsi="Times New Roman" w:cs="Times New Roman"/>
          <w:color w:val="000000"/>
          <w:sz w:val="24"/>
          <w:szCs w:val="24"/>
          <w:lang w:eastAsia="cs-CZ"/>
        </w:rPr>
        <w:t>e</w:t>
      </w:r>
      <w:r w:rsidR="000D0158">
        <w:rPr>
          <w:rFonts w:ascii="Times New Roman" w:eastAsia="Times New Roman" w:hAnsi="Times New Roman" w:cs="Times New Roman"/>
          <w:color w:val="000000"/>
          <w:sz w:val="24"/>
          <w:szCs w:val="24"/>
          <w:lang w:eastAsia="cs-CZ"/>
        </w:rPr>
        <w:t>mode</w:t>
      </w:r>
      <w:proofErr w:type="spellEnd"/>
      <w:r w:rsidR="000D0158">
        <w:rPr>
          <w:rFonts w:ascii="Times New Roman" w:eastAsia="Times New Roman" w:hAnsi="Times New Roman" w:cs="Times New Roman"/>
          <w:color w:val="000000"/>
          <w:sz w:val="24"/>
          <w:szCs w:val="24"/>
          <w:lang w:eastAsia="cs-CZ"/>
        </w:rPr>
        <w:t>, dosah 20km</w:t>
      </w:r>
      <w:r w:rsidR="000D0158" w:rsidRPr="00F60A31">
        <w:rPr>
          <w:rFonts w:ascii="Times New Roman" w:eastAsia="Times New Roman" w:hAnsi="Times New Roman" w:cs="Times New Roman"/>
          <w:color w:val="000000"/>
          <w:sz w:val="24"/>
          <w:szCs w:val="24"/>
          <w:lang w:eastAsia="cs-CZ"/>
        </w:rPr>
        <w:t xml:space="preserve">, kompatibilní se </w:t>
      </w:r>
      <w:proofErr w:type="spellStart"/>
      <w:r w:rsidR="000D0158" w:rsidRPr="00F60A31">
        <w:rPr>
          <w:rFonts w:ascii="Times New Roman" w:eastAsia="Times New Roman" w:hAnsi="Times New Roman" w:cs="Times New Roman"/>
          <w:color w:val="000000"/>
          <w:sz w:val="24"/>
          <w:szCs w:val="24"/>
          <w:lang w:eastAsia="cs-CZ"/>
        </w:rPr>
        <w:t>switchem</w:t>
      </w:r>
      <w:proofErr w:type="spellEnd"/>
      <w:r w:rsidR="000D0158" w:rsidRPr="00F60A31">
        <w:rPr>
          <w:rFonts w:ascii="Times New Roman" w:eastAsia="Times New Roman" w:hAnsi="Times New Roman" w:cs="Times New Roman"/>
          <w:color w:val="000000"/>
          <w:sz w:val="24"/>
          <w:szCs w:val="24"/>
          <w:lang w:eastAsia="cs-CZ"/>
        </w:rPr>
        <w:t xml:space="preserve"> 48psfp+</w:t>
      </w:r>
      <w:r w:rsidR="000D0158" w:rsidRPr="00D662D8">
        <w:rPr>
          <w:rFonts w:ascii="Times New Roman" w:eastAsia="Times New Roman" w:hAnsi="Times New Roman" w:cs="Times New Roman"/>
          <w:color w:val="000000"/>
          <w:sz w:val="24"/>
          <w:szCs w:val="24"/>
          <w:lang w:eastAsia="cs-CZ"/>
        </w:rPr>
        <w:t xml:space="preserve">) </w:t>
      </w:r>
      <w:r w:rsidR="00AC42A0" w:rsidRPr="00D662D8">
        <w:rPr>
          <w:rFonts w:ascii="Times New Roman" w:eastAsia="Times New Roman" w:hAnsi="Times New Roman" w:cs="Times New Roman"/>
          <w:color w:val="000000"/>
          <w:sz w:val="24"/>
          <w:szCs w:val="24"/>
          <w:lang w:eastAsia="cs-CZ"/>
        </w:rPr>
        <w:t>-</w:t>
      </w:r>
      <w:r w:rsidR="00861A0D" w:rsidRPr="00D662D8">
        <w:rPr>
          <w:rFonts w:ascii="Times New Roman" w:eastAsia="Times New Roman" w:hAnsi="Times New Roman" w:cs="Times New Roman"/>
          <w:color w:val="000000"/>
          <w:sz w:val="24"/>
          <w:szCs w:val="24"/>
          <w:lang w:eastAsia="cs-CZ"/>
        </w:rPr>
        <w:t xml:space="preserve"> na základě </w:t>
      </w:r>
      <w:r w:rsidR="000D0158">
        <w:rPr>
          <w:rFonts w:ascii="Times New Roman" w:eastAsia="Times New Roman" w:hAnsi="Times New Roman" w:cs="Times New Roman"/>
          <w:color w:val="000000"/>
          <w:sz w:val="24"/>
          <w:szCs w:val="24"/>
          <w:lang w:eastAsia="cs-CZ"/>
        </w:rPr>
        <w:t>poptávkového řízení</w:t>
      </w:r>
      <w:r w:rsidR="00FC71A4" w:rsidRPr="00D662D8">
        <w:rPr>
          <w:rFonts w:ascii="Times New Roman" w:eastAsia="Times New Roman" w:hAnsi="Times New Roman" w:cs="Times New Roman"/>
          <w:color w:val="000000"/>
          <w:sz w:val="24"/>
          <w:szCs w:val="24"/>
          <w:lang w:eastAsia="cs-CZ"/>
        </w:rPr>
        <w:t>,</w:t>
      </w:r>
      <w:r w:rsidRPr="00D662D8">
        <w:rPr>
          <w:rFonts w:ascii="Times New Roman" w:eastAsia="Times New Roman" w:hAnsi="Times New Roman" w:cs="Times New Roman"/>
          <w:color w:val="000000"/>
          <w:sz w:val="24"/>
          <w:szCs w:val="24"/>
          <w:lang w:eastAsia="cs-CZ"/>
        </w:rPr>
        <w:t xml:space="preserve"> označené</w:t>
      </w:r>
      <w:r w:rsidR="000D0158">
        <w:rPr>
          <w:rFonts w:ascii="Times New Roman" w:eastAsia="Times New Roman" w:hAnsi="Times New Roman" w:cs="Times New Roman"/>
          <w:color w:val="000000"/>
          <w:sz w:val="24"/>
          <w:szCs w:val="24"/>
          <w:lang w:eastAsia="cs-CZ"/>
        </w:rPr>
        <w:t>m</w:t>
      </w:r>
      <w:r w:rsidRPr="00D662D8">
        <w:rPr>
          <w:rFonts w:ascii="Times New Roman" w:eastAsia="Times New Roman" w:hAnsi="Times New Roman" w:cs="Times New Roman"/>
          <w:color w:val="000000"/>
          <w:sz w:val="24"/>
          <w:szCs w:val="24"/>
          <w:lang w:eastAsia="cs-CZ"/>
        </w:rPr>
        <w:t xml:space="preserve"> „</w:t>
      </w:r>
      <w:r w:rsidR="000C0145" w:rsidRPr="00D662D8">
        <w:rPr>
          <w:rFonts w:ascii="Times New Roman" w:eastAsia="Times New Roman" w:hAnsi="Times New Roman" w:cs="Times New Roman"/>
          <w:b/>
          <w:sz w:val="24"/>
          <w:szCs w:val="24"/>
          <w:lang w:eastAsia="cs-CZ"/>
        </w:rPr>
        <w:t xml:space="preserve">Dodávka </w:t>
      </w:r>
      <w:proofErr w:type="spellStart"/>
      <w:r w:rsidR="007F01BA" w:rsidRPr="00D662D8">
        <w:rPr>
          <w:rFonts w:ascii="Times New Roman" w:eastAsia="Times New Roman" w:hAnsi="Times New Roman" w:cs="Times New Roman"/>
          <w:b/>
          <w:sz w:val="24"/>
          <w:szCs w:val="24"/>
          <w:lang w:eastAsia="cs-CZ"/>
        </w:rPr>
        <w:t>switchů</w:t>
      </w:r>
      <w:proofErr w:type="spellEnd"/>
      <w:r w:rsidR="007F01BA" w:rsidRPr="00D662D8">
        <w:rPr>
          <w:rFonts w:ascii="Times New Roman" w:eastAsia="Times New Roman" w:hAnsi="Times New Roman" w:cs="Times New Roman"/>
          <w:b/>
          <w:sz w:val="24"/>
          <w:szCs w:val="24"/>
          <w:lang w:eastAsia="cs-CZ"/>
        </w:rPr>
        <w:t xml:space="preserve"> a modulů</w:t>
      </w:r>
      <w:r w:rsidRPr="00D662D8">
        <w:rPr>
          <w:rFonts w:ascii="Times New Roman" w:eastAsia="Times New Roman" w:hAnsi="Times New Roman" w:cs="Times New Roman"/>
          <w:color w:val="000000"/>
          <w:sz w:val="24"/>
          <w:szCs w:val="24"/>
          <w:lang w:eastAsia="cs-CZ"/>
        </w:rPr>
        <w:t xml:space="preserve">“ </w:t>
      </w:r>
      <w:r w:rsidR="00F60A31">
        <w:rPr>
          <w:rFonts w:ascii="Times New Roman" w:eastAsia="Times New Roman" w:hAnsi="Times New Roman" w:cs="Times New Roman"/>
          <w:color w:val="000000"/>
          <w:sz w:val="24"/>
          <w:szCs w:val="24"/>
          <w:lang w:eastAsia="cs-CZ"/>
        </w:rPr>
        <w:t>č.</w:t>
      </w:r>
      <w:r w:rsidR="000D0158">
        <w:rPr>
          <w:rFonts w:ascii="Times New Roman" w:eastAsia="Times New Roman" w:hAnsi="Times New Roman" w:cs="Times New Roman"/>
          <w:color w:val="000000"/>
          <w:sz w:val="24"/>
          <w:szCs w:val="24"/>
          <w:lang w:eastAsia="cs-CZ"/>
        </w:rPr>
        <w:t>17/2018</w:t>
      </w:r>
      <w:r w:rsidR="00F60A31">
        <w:rPr>
          <w:rFonts w:ascii="Times New Roman" w:eastAsia="Times New Roman" w:hAnsi="Times New Roman" w:cs="Times New Roman"/>
          <w:color w:val="000000"/>
          <w:sz w:val="24"/>
          <w:szCs w:val="24"/>
          <w:lang w:eastAsia="cs-CZ"/>
        </w:rPr>
        <w:t xml:space="preserve"> </w:t>
      </w:r>
      <w:r w:rsidRPr="00D662D8">
        <w:rPr>
          <w:rFonts w:ascii="Times New Roman" w:eastAsia="Times New Roman" w:hAnsi="Times New Roman" w:cs="Times New Roman"/>
          <w:color w:val="000000"/>
          <w:sz w:val="24"/>
          <w:szCs w:val="24"/>
          <w:lang w:eastAsia="cs-CZ"/>
        </w:rPr>
        <w:t xml:space="preserve">vyhlášené Libereckou IS, a.s., jako zadavatelem. </w:t>
      </w:r>
    </w:p>
    <w:p w14:paraId="1A7703FD" w14:textId="77777777" w:rsidR="00516C46" w:rsidRPr="00B63076" w:rsidRDefault="00516C46" w:rsidP="004F362C">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bude dodáno v ujednaném množství, sortimentu, druzích a termínech uvedených v</w:t>
      </w:r>
      <w:r>
        <w:rPr>
          <w:rFonts w:ascii="Times New Roman" w:eastAsia="Times New Roman" w:hAnsi="Times New Roman" w:cs="Times New Roman"/>
          <w:color w:val="000000"/>
          <w:sz w:val="24"/>
          <w:szCs w:val="24"/>
          <w:lang w:eastAsia="cs-CZ"/>
        </w:rPr>
        <w:t> této smlouvě a jejích přílohách.</w:t>
      </w:r>
    </w:p>
    <w:p w14:paraId="62E0C804" w14:textId="3E5CA4F5" w:rsidR="00516C46" w:rsidRPr="00B63076" w:rsidRDefault="00516C46" w:rsidP="004F362C">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Součástí dodávky zboží je také předání příslušných dokladů a dokumentace. </w:t>
      </w:r>
    </w:p>
    <w:p w14:paraId="646629C0" w14:textId="77777777" w:rsidR="00516C46" w:rsidRPr="001572A2" w:rsidRDefault="00516C46" w:rsidP="004F362C">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1572A2">
        <w:rPr>
          <w:rFonts w:ascii="Times New Roman" w:eastAsia="Times New Roman" w:hAnsi="Times New Roman" w:cs="Times New Roman"/>
          <w:color w:val="000000"/>
          <w:sz w:val="24"/>
          <w:szCs w:val="24"/>
          <w:lang w:eastAsia="cs-CZ"/>
        </w:rPr>
        <w:t>Předmětem této smlouvy není správa provozu dodávaného zboží.</w:t>
      </w:r>
    </w:p>
    <w:p w14:paraId="2756A828" w14:textId="77777777" w:rsidR="00861A0D" w:rsidRDefault="00861A0D" w:rsidP="004F362C">
      <w:pPr>
        <w:spacing w:after="0" w:line="240" w:lineRule="auto"/>
        <w:jc w:val="both"/>
        <w:rPr>
          <w:rFonts w:ascii="Times New Roman" w:eastAsia="Times New Roman" w:hAnsi="Times New Roman" w:cs="Times New Roman"/>
          <w:color w:val="000000"/>
          <w:sz w:val="24"/>
          <w:szCs w:val="24"/>
          <w:lang w:eastAsia="cs-CZ"/>
        </w:rPr>
      </w:pPr>
    </w:p>
    <w:p w14:paraId="3326C6F0" w14:textId="77777777" w:rsidR="007A0A3D" w:rsidRDefault="007A0A3D" w:rsidP="004F362C">
      <w:pPr>
        <w:spacing w:after="0" w:line="240" w:lineRule="auto"/>
        <w:jc w:val="both"/>
        <w:rPr>
          <w:rFonts w:ascii="Times New Roman" w:eastAsia="Times New Roman" w:hAnsi="Times New Roman" w:cs="Times New Roman"/>
          <w:color w:val="000000"/>
          <w:sz w:val="24"/>
          <w:szCs w:val="24"/>
          <w:lang w:eastAsia="cs-CZ"/>
        </w:rPr>
      </w:pPr>
    </w:p>
    <w:p w14:paraId="48C33D38" w14:textId="3512FA02" w:rsidR="000C3A77" w:rsidRDefault="000C3A77" w:rsidP="00B63076">
      <w:pPr>
        <w:spacing w:after="0" w:line="240" w:lineRule="auto"/>
        <w:jc w:val="center"/>
        <w:rPr>
          <w:rFonts w:ascii="Times New Roman" w:eastAsia="Times New Roman" w:hAnsi="Times New Roman" w:cs="Times New Roman"/>
          <w:color w:val="000000"/>
          <w:sz w:val="24"/>
          <w:szCs w:val="24"/>
          <w:lang w:eastAsia="cs-CZ"/>
        </w:rPr>
      </w:pPr>
    </w:p>
    <w:p w14:paraId="1571428E" w14:textId="77777777" w:rsidR="000C3A77" w:rsidRDefault="000C3A77" w:rsidP="00B63076">
      <w:pPr>
        <w:spacing w:after="0" w:line="240" w:lineRule="auto"/>
        <w:jc w:val="center"/>
        <w:rPr>
          <w:rFonts w:ascii="Times New Roman" w:eastAsia="Times New Roman" w:hAnsi="Times New Roman" w:cs="Times New Roman"/>
          <w:color w:val="000000"/>
          <w:sz w:val="24"/>
          <w:szCs w:val="24"/>
          <w:lang w:eastAsia="cs-CZ"/>
        </w:rPr>
      </w:pPr>
    </w:p>
    <w:p w14:paraId="74DF571C" w14:textId="77777777" w:rsidR="000C3A77" w:rsidRDefault="000C3A77" w:rsidP="00B63076">
      <w:pPr>
        <w:spacing w:after="0" w:line="240" w:lineRule="auto"/>
        <w:jc w:val="center"/>
        <w:rPr>
          <w:rFonts w:ascii="Times New Roman" w:eastAsia="Times New Roman" w:hAnsi="Times New Roman" w:cs="Times New Roman"/>
          <w:color w:val="000000"/>
          <w:sz w:val="24"/>
          <w:szCs w:val="24"/>
          <w:lang w:eastAsia="cs-CZ"/>
        </w:rPr>
      </w:pPr>
    </w:p>
    <w:p w14:paraId="7C3C34DD" w14:textId="77F3F4EA" w:rsidR="000C3A77" w:rsidRDefault="000C3A77" w:rsidP="00B63076">
      <w:pPr>
        <w:spacing w:after="0" w:line="240" w:lineRule="auto"/>
        <w:jc w:val="center"/>
        <w:rPr>
          <w:rFonts w:ascii="Times New Roman" w:eastAsia="Times New Roman" w:hAnsi="Times New Roman" w:cs="Times New Roman"/>
          <w:color w:val="000000"/>
          <w:sz w:val="24"/>
          <w:szCs w:val="24"/>
          <w:lang w:eastAsia="cs-CZ"/>
        </w:rPr>
      </w:pPr>
    </w:p>
    <w:p w14:paraId="6507A925" w14:textId="77777777" w:rsidR="008D71C8" w:rsidRDefault="008D71C8" w:rsidP="00B63076">
      <w:pPr>
        <w:spacing w:after="0" w:line="240" w:lineRule="auto"/>
        <w:jc w:val="center"/>
        <w:rPr>
          <w:rFonts w:ascii="Times New Roman" w:eastAsia="Times New Roman" w:hAnsi="Times New Roman" w:cs="Times New Roman"/>
          <w:color w:val="000000"/>
          <w:sz w:val="24"/>
          <w:szCs w:val="24"/>
          <w:lang w:eastAsia="cs-CZ"/>
        </w:rPr>
      </w:pPr>
    </w:p>
    <w:p w14:paraId="3326C6F2"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3</w:t>
      </w:r>
    </w:p>
    <w:p w14:paraId="3326C6F3"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Kupní cena</w:t>
      </w:r>
    </w:p>
    <w:p w14:paraId="7900D562" w14:textId="77777777" w:rsidR="00516C46" w:rsidRPr="00B63076" w:rsidRDefault="00516C46" w:rsidP="00516C46">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Kupní cenou se rozumí cena dodávky zboží včetně obalu a dopravy na místo plnění, případně včetně dalších náležitostí uvedených v této smlouvě nebo v přílohách této smlouvy.</w:t>
      </w:r>
    </w:p>
    <w:p w14:paraId="3006F8AE" w14:textId="77777777" w:rsidR="00516C46" w:rsidRPr="00B63076" w:rsidRDefault="00516C46" w:rsidP="00516C46">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Cena dodávky je ujednána v měně CZK.</w:t>
      </w:r>
    </w:p>
    <w:p w14:paraId="167EEA3A" w14:textId="77777777" w:rsidR="00516C46" w:rsidRPr="00B63076" w:rsidRDefault="00516C46" w:rsidP="00516C46">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 sjednanou dodávku množství platí cenová nabídka, odsouhlasená oběma stranami, která tvoří přílohu č. 1, která je nedílnou součástí této smlouvy.</w:t>
      </w:r>
    </w:p>
    <w:p w14:paraId="3326C6F8" w14:textId="77777777" w:rsidR="00FC73AE" w:rsidRDefault="00FC73AE" w:rsidP="00B63076">
      <w:pPr>
        <w:spacing w:after="0" w:line="240" w:lineRule="auto"/>
        <w:jc w:val="center"/>
        <w:rPr>
          <w:rFonts w:ascii="Times New Roman" w:eastAsia="Times New Roman" w:hAnsi="Times New Roman" w:cs="Times New Roman"/>
          <w:color w:val="000000"/>
          <w:sz w:val="24"/>
          <w:szCs w:val="24"/>
          <w:lang w:eastAsia="cs-CZ"/>
        </w:rPr>
      </w:pPr>
    </w:p>
    <w:p w14:paraId="15241D8D" w14:textId="77777777" w:rsidR="00413A86" w:rsidRDefault="00413A86" w:rsidP="00B63076">
      <w:pPr>
        <w:spacing w:after="0" w:line="240" w:lineRule="auto"/>
        <w:jc w:val="center"/>
        <w:rPr>
          <w:rFonts w:ascii="Times New Roman" w:eastAsia="Times New Roman" w:hAnsi="Times New Roman" w:cs="Times New Roman"/>
          <w:color w:val="000000"/>
          <w:sz w:val="24"/>
          <w:szCs w:val="24"/>
          <w:lang w:eastAsia="cs-CZ"/>
        </w:rPr>
      </w:pPr>
    </w:p>
    <w:p w14:paraId="3326C6F9" w14:textId="77777777" w:rsidR="007A0A3D" w:rsidRPr="00B63076" w:rsidRDefault="007A0A3D" w:rsidP="00B63076">
      <w:pPr>
        <w:spacing w:after="0" w:line="240" w:lineRule="auto"/>
        <w:jc w:val="center"/>
        <w:rPr>
          <w:rFonts w:ascii="Times New Roman" w:eastAsia="Times New Roman" w:hAnsi="Times New Roman" w:cs="Times New Roman"/>
          <w:color w:val="000000"/>
          <w:sz w:val="24"/>
          <w:szCs w:val="24"/>
          <w:lang w:eastAsia="cs-CZ"/>
        </w:rPr>
      </w:pPr>
    </w:p>
    <w:p w14:paraId="3326C6FA"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4</w:t>
      </w:r>
    </w:p>
    <w:p w14:paraId="3326C6FB"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Platební podmínky</w:t>
      </w:r>
    </w:p>
    <w:p w14:paraId="3326C6FC" w14:textId="77777777" w:rsidR="00B63076" w:rsidRPr="00B63076" w:rsidRDefault="00B63076" w:rsidP="00B63076">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Kupující zaplatí kupní cenu na základě faktury a to nejpozději do posledního dne její splatnosti a to pouze v případě, že dodávka bude ze strany objednatele bez výhrad.</w:t>
      </w:r>
    </w:p>
    <w:p w14:paraId="3326C6FD" w14:textId="4726FD35" w:rsidR="00B63076" w:rsidRPr="005A68D0" w:rsidRDefault="00B63076" w:rsidP="00FC71A4">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sidRPr="005A68D0">
        <w:rPr>
          <w:rFonts w:ascii="Times New Roman" w:eastAsia="Times New Roman" w:hAnsi="Times New Roman" w:cs="Times New Roman"/>
          <w:bCs/>
          <w:color w:val="000000"/>
          <w:sz w:val="24"/>
          <w:szCs w:val="24"/>
          <w:lang w:eastAsia="cs-CZ"/>
        </w:rPr>
        <w:t xml:space="preserve">Za zaplacení kupní ceny se považuje připsání příslušné částky ve prospěch účtu prodávajícího a to ve výši </w:t>
      </w:r>
      <w:r w:rsidR="00861A0D" w:rsidRPr="005A68D0">
        <w:rPr>
          <w:rFonts w:ascii="Times New Roman" w:eastAsia="Times New Roman" w:hAnsi="Times New Roman" w:cs="Times New Roman"/>
          <w:b/>
          <w:bCs/>
          <w:sz w:val="24"/>
          <w:szCs w:val="24"/>
          <w:lang w:eastAsia="cs-CZ"/>
        </w:rPr>
        <w:t xml:space="preserve"> </w:t>
      </w:r>
      <w:bookmarkStart w:id="2" w:name="OLE_LINK1"/>
      <w:bookmarkStart w:id="3" w:name="OLE_LINK2"/>
      <w:r w:rsidR="00861A0D" w:rsidRPr="005A68D0">
        <w:rPr>
          <w:rFonts w:ascii="Times New Roman" w:eastAsia="Times New Roman" w:hAnsi="Times New Roman" w:cs="Times New Roman"/>
          <w:b/>
          <w:bCs/>
          <w:sz w:val="24"/>
          <w:szCs w:val="24"/>
          <w:highlight w:val="yellow"/>
          <w:lang w:eastAsia="cs-CZ"/>
        </w:rPr>
        <w:t>(doplní uchazeč)</w:t>
      </w:r>
      <w:r w:rsidRPr="005A68D0">
        <w:rPr>
          <w:rFonts w:ascii="Times New Roman" w:eastAsia="Times New Roman" w:hAnsi="Times New Roman" w:cs="Times New Roman"/>
          <w:bCs/>
          <w:color w:val="000000"/>
          <w:sz w:val="24"/>
          <w:szCs w:val="24"/>
          <w:lang w:eastAsia="cs-CZ"/>
        </w:rPr>
        <w:t xml:space="preserve"> </w:t>
      </w:r>
      <w:bookmarkEnd w:id="2"/>
      <w:bookmarkEnd w:id="3"/>
      <w:r w:rsidR="00FC71A4" w:rsidRPr="005A68D0">
        <w:rPr>
          <w:rFonts w:ascii="Times New Roman" w:eastAsia="Times New Roman" w:hAnsi="Times New Roman" w:cs="Times New Roman"/>
          <w:bCs/>
          <w:color w:val="000000"/>
          <w:sz w:val="24"/>
          <w:szCs w:val="24"/>
          <w:lang w:eastAsia="cs-CZ"/>
        </w:rPr>
        <w:t>CZK</w:t>
      </w:r>
      <w:r w:rsidR="008C59E8" w:rsidRPr="005A68D0">
        <w:rPr>
          <w:rFonts w:ascii="Times New Roman" w:eastAsia="Times New Roman" w:hAnsi="Times New Roman" w:cs="Times New Roman"/>
          <w:bCs/>
          <w:color w:val="000000"/>
          <w:sz w:val="24"/>
          <w:szCs w:val="24"/>
          <w:lang w:eastAsia="cs-CZ"/>
        </w:rPr>
        <w:t xml:space="preserve"> za </w:t>
      </w:r>
      <w:r w:rsidR="007F01BA">
        <w:rPr>
          <w:rFonts w:ascii="Times New Roman" w:eastAsia="Times New Roman" w:hAnsi="Times New Roman" w:cs="Times New Roman"/>
          <w:bCs/>
          <w:color w:val="000000"/>
          <w:sz w:val="24"/>
          <w:szCs w:val="24"/>
          <w:lang w:eastAsia="cs-CZ"/>
        </w:rPr>
        <w:t xml:space="preserve">dodávku </w:t>
      </w:r>
      <w:proofErr w:type="spellStart"/>
      <w:r w:rsidR="007F01BA">
        <w:rPr>
          <w:rFonts w:ascii="Times New Roman" w:eastAsia="Times New Roman" w:hAnsi="Times New Roman" w:cs="Times New Roman"/>
          <w:bCs/>
          <w:color w:val="000000"/>
          <w:sz w:val="24"/>
          <w:szCs w:val="24"/>
          <w:lang w:eastAsia="cs-CZ"/>
        </w:rPr>
        <w:t>switchů</w:t>
      </w:r>
      <w:proofErr w:type="spellEnd"/>
      <w:r w:rsidR="007F01BA">
        <w:rPr>
          <w:rFonts w:ascii="Times New Roman" w:eastAsia="Times New Roman" w:hAnsi="Times New Roman" w:cs="Times New Roman"/>
          <w:bCs/>
          <w:color w:val="000000"/>
          <w:sz w:val="24"/>
          <w:szCs w:val="24"/>
          <w:lang w:eastAsia="cs-CZ"/>
        </w:rPr>
        <w:t xml:space="preserve"> a modulů.</w:t>
      </w:r>
    </w:p>
    <w:p w14:paraId="3326C6FE" w14:textId="26773D1C" w:rsidR="00B63076" w:rsidRDefault="00AB77AE" w:rsidP="00B63076">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Faktura bude vystavena v měně CZK. </w:t>
      </w:r>
      <w:r w:rsidR="00B63076" w:rsidRPr="00B63076">
        <w:rPr>
          <w:rFonts w:ascii="Times New Roman" w:eastAsia="Times New Roman" w:hAnsi="Times New Roman" w:cs="Times New Roman"/>
          <w:bCs/>
          <w:color w:val="000000"/>
          <w:sz w:val="24"/>
          <w:szCs w:val="24"/>
          <w:lang w:eastAsia="cs-CZ"/>
        </w:rPr>
        <w:t>K</w:t>
      </w:r>
      <w:r>
        <w:rPr>
          <w:rFonts w:ascii="Times New Roman" w:eastAsia="Times New Roman" w:hAnsi="Times New Roman" w:cs="Times New Roman"/>
          <w:bCs/>
          <w:color w:val="000000"/>
          <w:sz w:val="24"/>
          <w:szCs w:val="24"/>
          <w:lang w:eastAsia="cs-CZ"/>
        </w:rPr>
        <w:t> ceně</w:t>
      </w:r>
      <w:r w:rsidR="00B63076" w:rsidRPr="00B63076">
        <w:rPr>
          <w:rFonts w:ascii="Times New Roman" w:eastAsia="Times New Roman" w:hAnsi="Times New Roman" w:cs="Times New Roman"/>
          <w:bCs/>
          <w:color w:val="000000"/>
          <w:sz w:val="24"/>
          <w:szCs w:val="24"/>
          <w:lang w:eastAsia="cs-CZ"/>
        </w:rPr>
        <w:t xml:space="preserve"> bude připočtena daň z přidané hodnoty dle platných sazeb DPH na základě právních předpisů aktuálně platných v zúčtovacím období.</w:t>
      </w:r>
    </w:p>
    <w:p w14:paraId="3326C6FF" w14:textId="2E2ADC10" w:rsidR="00B63076" w:rsidRPr="00AB77AE" w:rsidRDefault="00B63076" w:rsidP="00B63076">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sidRPr="00AB77AE">
        <w:rPr>
          <w:rFonts w:ascii="Times New Roman" w:eastAsia="Times New Roman" w:hAnsi="Times New Roman" w:cs="Times New Roman"/>
          <w:bCs/>
          <w:color w:val="000000"/>
          <w:sz w:val="24"/>
          <w:szCs w:val="24"/>
          <w:lang w:eastAsia="cs-CZ"/>
        </w:rPr>
        <w:t xml:space="preserve">Prodávající je oprávněn vystavit fakturu po </w:t>
      </w:r>
      <w:r w:rsidR="00F81047" w:rsidRPr="00AB77AE">
        <w:rPr>
          <w:rFonts w:ascii="Times New Roman" w:eastAsia="Times New Roman" w:hAnsi="Times New Roman" w:cs="Times New Roman"/>
          <w:bCs/>
          <w:color w:val="000000"/>
          <w:sz w:val="24"/>
          <w:szCs w:val="24"/>
          <w:lang w:eastAsia="cs-CZ"/>
        </w:rPr>
        <w:t>odsouhlasení akceptačního protokolu</w:t>
      </w:r>
      <w:r w:rsidRPr="00AB77AE">
        <w:rPr>
          <w:rFonts w:ascii="Times New Roman" w:eastAsia="Times New Roman" w:hAnsi="Times New Roman" w:cs="Times New Roman"/>
          <w:bCs/>
          <w:color w:val="000000"/>
          <w:sz w:val="24"/>
          <w:szCs w:val="24"/>
          <w:lang w:eastAsia="cs-CZ"/>
        </w:rPr>
        <w:t>.</w:t>
      </w:r>
    </w:p>
    <w:p w14:paraId="3326C700" w14:textId="75B272BB" w:rsidR="00B63076" w:rsidRPr="00B63076" w:rsidRDefault="00B63076" w:rsidP="00237964">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Splatnost vystavené faktury je stanovena na 30 (slovy třicet) dní ode dne jejího doručení objednateli.</w:t>
      </w:r>
      <w:r w:rsidR="00237964">
        <w:rPr>
          <w:rFonts w:ascii="Times New Roman" w:eastAsia="Times New Roman" w:hAnsi="Times New Roman" w:cs="Times New Roman"/>
          <w:bCs/>
          <w:color w:val="000000"/>
          <w:sz w:val="24"/>
          <w:szCs w:val="24"/>
          <w:lang w:eastAsia="cs-CZ"/>
        </w:rPr>
        <w:t xml:space="preserve"> </w:t>
      </w:r>
      <w:r w:rsidR="00237964" w:rsidRPr="00237964">
        <w:rPr>
          <w:rFonts w:ascii="Times New Roman" w:eastAsia="Times New Roman" w:hAnsi="Times New Roman" w:cs="Times New Roman"/>
          <w:bCs/>
          <w:color w:val="000000"/>
          <w:sz w:val="24"/>
          <w:szCs w:val="24"/>
          <w:lang w:eastAsia="cs-CZ"/>
        </w:rPr>
        <w:t xml:space="preserve">Faktury jsou zasílány elektronickou formou na e-mailovou adresu </w:t>
      </w:r>
      <w:hyperlink r:id="rId10" w:history="1">
        <w:r w:rsidR="00237964" w:rsidRPr="004061DC">
          <w:rPr>
            <w:rStyle w:val="Hypertextovodkaz"/>
            <w:rFonts w:ascii="Times New Roman" w:eastAsia="Times New Roman" w:hAnsi="Times New Roman" w:cs="Times New Roman"/>
            <w:bCs/>
            <w:sz w:val="24"/>
            <w:szCs w:val="24"/>
            <w:lang w:eastAsia="cs-CZ"/>
          </w:rPr>
          <w:t>eko@libereckais.cz</w:t>
        </w:r>
      </w:hyperlink>
      <w:r w:rsidR="00237964" w:rsidRPr="00237964">
        <w:rPr>
          <w:rFonts w:ascii="Times New Roman" w:eastAsia="Times New Roman" w:hAnsi="Times New Roman" w:cs="Times New Roman"/>
          <w:bCs/>
          <w:color w:val="000000"/>
          <w:sz w:val="24"/>
          <w:szCs w:val="24"/>
          <w:lang w:eastAsia="cs-CZ"/>
        </w:rPr>
        <w:t>.</w:t>
      </w:r>
      <w:r w:rsidR="00237964">
        <w:rPr>
          <w:rFonts w:ascii="Times New Roman" w:eastAsia="Times New Roman" w:hAnsi="Times New Roman" w:cs="Times New Roman"/>
          <w:bCs/>
          <w:color w:val="000000"/>
          <w:sz w:val="24"/>
          <w:szCs w:val="24"/>
          <w:lang w:eastAsia="cs-CZ"/>
        </w:rPr>
        <w:t xml:space="preserve"> </w:t>
      </w:r>
    </w:p>
    <w:p w14:paraId="3326C701" w14:textId="28DCF239" w:rsidR="00B63076" w:rsidRPr="00B63076" w:rsidRDefault="00B63076" w:rsidP="00B63076">
      <w:pPr>
        <w:numPr>
          <w:ilvl w:val="0"/>
          <w:numId w:val="3"/>
        </w:numPr>
        <w:spacing w:after="0" w:line="240" w:lineRule="auto"/>
        <w:jc w:val="both"/>
        <w:rPr>
          <w:rFonts w:ascii="Times New Roman" w:eastAsia="Times New Roman" w:hAnsi="Times New Roman" w:cs="Times New Roman"/>
          <w:bCs/>
          <w:color w:val="000000"/>
          <w:sz w:val="24"/>
          <w:szCs w:val="24"/>
          <w:lang w:eastAsia="cs-CZ"/>
        </w:rPr>
      </w:pPr>
      <w:r w:rsidRPr="00B63076">
        <w:rPr>
          <w:rFonts w:ascii="Times New Roman" w:eastAsia="Times New Roman" w:hAnsi="Times New Roman" w:cs="Times New Roman"/>
          <w:bCs/>
          <w:color w:val="000000"/>
          <w:sz w:val="24"/>
          <w:szCs w:val="24"/>
          <w:lang w:eastAsia="cs-CZ"/>
        </w:rPr>
        <w:t xml:space="preserve">Přílohou daňového dokladu bude </w:t>
      </w:r>
      <w:r w:rsidR="000C067F">
        <w:rPr>
          <w:rFonts w:ascii="Times New Roman" w:eastAsia="Times New Roman" w:hAnsi="Times New Roman" w:cs="Times New Roman"/>
          <w:bCs/>
          <w:color w:val="000000"/>
          <w:sz w:val="24"/>
          <w:szCs w:val="24"/>
          <w:lang w:eastAsia="cs-CZ"/>
        </w:rPr>
        <w:t xml:space="preserve">akceptační protokol </w:t>
      </w:r>
      <w:r w:rsidRPr="00B63076">
        <w:rPr>
          <w:rFonts w:ascii="Times New Roman" w:eastAsia="Times New Roman" w:hAnsi="Times New Roman" w:cs="Times New Roman"/>
          <w:bCs/>
          <w:color w:val="000000"/>
          <w:sz w:val="24"/>
          <w:szCs w:val="24"/>
          <w:lang w:eastAsia="cs-CZ"/>
        </w:rPr>
        <w:t>podepsaný pověřeným zástupcem kupujícího spolu se seznamem dodávek a služeb, které jsou předmětem platby.</w:t>
      </w:r>
    </w:p>
    <w:p w14:paraId="3326C702" w14:textId="77777777" w:rsid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p>
    <w:p w14:paraId="3326C703" w14:textId="77777777" w:rsidR="007A0A3D" w:rsidRPr="00B63076" w:rsidRDefault="007A0A3D" w:rsidP="00B63076">
      <w:pPr>
        <w:spacing w:after="0" w:line="240" w:lineRule="auto"/>
        <w:jc w:val="center"/>
        <w:rPr>
          <w:rFonts w:ascii="Times New Roman" w:eastAsia="Times New Roman" w:hAnsi="Times New Roman" w:cs="Times New Roman"/>
          <w:b/>
          <w:color w:val="000000"/>
          <w:sz w:val="24"/>
          <w:szCs w:val="24"/>
          <w:lang w:eastAsia="cs-CZ"/>
        </w:rPr>
      </w:pPr>
    </w:p>
    <w:p w14:paraId="3326C704"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5</w:t>
      </w:r>
    </w:p>
    <w:p w14:paraId="3326C705" w14:textId="77777777" w:rsid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 xml:space="preserve"> Vlastnictví</w:t>
      </w:r>
    </w:p>
    <w:p w14:paraId="7616875D" w14:textId="0FF571FC" w:rsidR="00E266D6" w:rsidRPr="00B63076" w:rsidRDefault="00E266D6" w:rsidP="009C335A">
      <w:pPr>
        <w:spacing w:after="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Zboží přechází do vlastnictví kupujícího okamžikem podpisu akceptačního protokolu o předání a převzetí věci.</w:t>
      </w:r>
    </w:p>
    <w:p w14:paraId="3326C708" w14:textId="77777777" w:rsidR="007A0A3D" w:rsidRPr="00B63076" w:rsidRDefault="007A0A3D" w:rsidP="00B63076">
      <w:pPr>
        <w:spacing w:after="0" w:line="240" w:lineRule="auto"/>
        <w:jc w:val="both"/>
        <w:rPr>
          <w:rFonts w:ascii="Times New Roman" w:eastAsia="Times New Roman" w:hAnsi="Times New Roman" w:cs="Times New Roman"/>
          <w:color w:val="000000"/>
          <w:sz w:val="24"/>
          <w:szCs w:val="24"/>
          <w:lang w:eastAsia="cs-CZ"/>
        </w:rPr>
      </w:pPr>
    </w:p>
    <w:p w14:paraId="3326C709"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6</w:t>
      </w:r>
    </w:p>
    <w:p w14:paraId="3326C70A"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Dodací podmínky</w:t>
      </w:r>
    </w:p>
    <w:p w14:paraId="275C4E72" w14:textId="1FC89F52" w:rsidR="00237964" w:rsidRDefault="00B63076" w:rsidP="005B54C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Prodávající dodá kupujícímu zboží do místa plnění </w:t>
      </w:r>
      <w:r w:rsidRPr="00B63076">
        <w:rPr>
          <w:rFonts w:ascii="Times New Roman" w:eastAsia="Times New Roman" w:hAnsi="Times New Roman" w:cs="Times New Roman"/>
          <w:sz w:val="24"/>
          <w:szCs w:val="24"/>
          <w:lang w:eastAsia="cs-CZ"/>
        </w:rPr>
        <w:t>po</w:t>
      </w:r>
      <w:r w:rsidRPr="00B63076">
        <w:rPr>
          <w:rFonts w:ascii="Times New Roman" w:eastAsia="Times New Roman" w:hAnsi="Times New Roman" w:cs="Times New Roman"/>
          <w:color w:val="000000"/>
          <w:sz w:val="24"/>
          <w:szCs w:val="24"/>
          <w:lang w:eastAsia="cs-CZ"/>
        </w:rPr>
        <w:t xml:space="preserve"> podpisu této </w:t>
      </w:r>
      <w:r w:rsidR="005B54C4">
        <w:rPr>
          <w:rFonts w:ascii="Times New Roman" w:eastAsia="Times New Roman" w:hAnsi="Times New Roman" w:cs="Times New Roman"/>
          <w:color w:val="000000"/>
          <w:sz w:val="24"/>
          <w:szCs w:val="24"/>
          <w:lang w:eastAsia="cs-CZ"/>
        </w:rPr>
        <w:t>smlouvy.</w:t>
      </w:r>
    </w:p>
    <w:p w14:paraId="3326C71C" w14:textId="4313CFC2" w:rsidR="00B63076" w:rsidRPr="00237964" w:rsidRDefault="00B63076" w:rsidP="00AB77AE">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sz w:val="24"/>
          <w:szCs w:val="24"/>
          <w:lang w:eastAsia="cs-CZ"/>
        </w:rPr>
        <w:t xml:space="preserve">Místem plnění zakázky </w:t>
      </w:r>
      <w:r w:rsidR="00861A0D">
        <w:rPr>
          <w:rFonts w:ascii="Times New Roman" w:eastAsia="Times New Roman" w:hAnsi="Times New Roman" w:cs="Times New Roman"/>
          <w:sz w:val="24"/>
          <w:szCs w:val="24"/>
          <w:lang w:eastAsia="cs-CZ"/>
        </w:rPr>
        <w:t>je</w:t>
      </w:r>
      <w:r w:rsidRPr="00B63076">
        <w:rPr>
          <w:rFonts w:ascii="Times New Roman" w:eastAsia="Times New Roman" w:hAnsi="Times New Roman" w:cs="Times New Roman"/>
          <w:sz w:val="24"/>
          <w:szCs w:val="24"/>
          <w:lang w:eastAsia="cs-CZ"/>
        </w:rPr>
        <w:t xml:space="preserve"> </w:t>
      </w:r>
      <w:r w:rsidR="00861A0D">
        <w:rPr>
          <w:rFonts w:ascii="Times New Roman" w:eastAsia="Times New Roman" w:hAnsi="Times New Roman" w:cs="Times New Roman"/>
          <w:sz w:val="24"/>
          <w:szCs w:val="24"/>
          <w:lang w:eastAsia="cs-CZ"/>
        </w:rPr>
        <w:t xml:space="preserve">lokalita </w:t>
      </w:r>
      <w:r w:rsidRPr="00B63076">
        <w:rPr>
          <w:rFonts w:ascii="Times New Roman" w:eastAsia="Times New Roman" w:hAnsi="Times New Roman" w:cs="Times New Roman"/>
          <w:sz w:val="24"/>
          <w:szCs w:val="24"/>
          <w:lang w:eastAsia="cs-CZ"/>
        </w:rPr>
        <w:t>města Liberec.</w:t>
      </w:r>
    </w:p>
    <w:p w14:paraId="78163EF5" w14:textId="39DE1B42" w:rsidR="00FC71A4" w:rsidRPr="00935998" w:rsidRDefault="00237964" w:rsidP="00FC71A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935998">
        <w:rPr>
          <w:rFonts w:ascii="Times New Roman" w:eastAsia="Times New Roman" w:hAnsi="Times New Roman" w:cs="Times New Roman"/>
          <w:color w:val="000000"/>
          <w:sz w:val="24"/>
          <w:szCs w:val="24"/>
          <w:lang w:eastAsia="cs-CZ"/>
        </w:rPr>
        <w:t xml:space="preserve">Dodávka </w:t>
      </w:r>
      <w:r w:rsidR="00FC71A4" w:rsidRPr="00935998">
        <w:rPr>
          <w:rFonts w:ascii="Times New Roman" w:eastAsia="Times New Roman" w:hAnsi="Times New Roman" w:cs="Times New Roman"/>
          <w:color w:val="000000"/>
          <w:sz w:val="24"/>
          <w:szCs w:val="24"/>
          <w:lang w:eastAsia="cs-CZ"/>
        </w:rPr>
        <w:t>se uskuteční</w:t>
      </w:r>
      <w:r w:rsidRPr="00935998">
        <w:rPr>
          <w:rFonts w:ascii="Times New Roman" w:eastAsia="Times New Roman" w:hAnsi="Times New Roman" w:cs="Times New Roman"/>
          <w:color w:val="000000"/>
          <w:sz w:val="24"/>
          <w:szCs w:val="24"/>
          <w:lang w:eastAsia="cs-CZ"/>
        </w:rPr>
        <w:t xml:space="preserve"> </w:t>
      </w:r>
      <w:r w:rsidR="005A68D0" w:rsidRPr="00935998">
        <w:rPr>
          <w:rFonts w:ascii="Times New Roman" w:eastAsia="Times New Roman" w:hAnsi="Times New Roman" w:cs="Times New Roman"/>
          <w:color w:val="000000"/>
          <w:sz w:val="24"/>
          <w:szCs w:val="24"/>
          <w:lang w:eastAsia="cs-CZ"/>
        </w:rPr>
        <w:t xml:space="preserve">nejpozději </w:t>
      </w:r>
      <w:r w:rsidRPr="00935998">
        <w:rPr>
          <w:rFonts w:ascii="Times New Roman" w:eastAsia="Times New Roman" w:hAnsi="Times New Roman" w:cs="Times New Roman"/>
          <w:color w:val="000000"/>
          <w:sz w:val="24"/>
          <w:szCs w:val="24"/>
          <w:lang w:eastAsia="cs-CZ"/>
        </w:rPr>
        <w:t xml:space="preserve">do </w:t>
      </w:r>
      <w:r w:rsidR="00935998" w:rsidRPr="00935998">
        <w:rPr>
          <w:rFonts w:ascii="Times New Roman" w:eastAsia="Times New Roman" w:hAnsi="Times New Roman" w:cs="Times New Roman"/>
          <w:color w:val="000000"/>
          <w:sz w:val="24"/>
          <w:szCs w:val="24"/>
          <w:lang w:eastAsia="cs-CZ"/>
        </w:rPr>
        <w:t>30 dnů ode dne podpisu smlouvy</w:t>
      </w:r>
      <w:r w:rsidRPr="00935998">
        <w:rPr>
          <w:rFonts w:ascii="Times New Roman" w:eastAsia="Times New Roman" w:hAnsi="Times New Roman" w:cs="Times New Roman"/>
          <w:color w:val="000000"/>
          <w:sz w:val="24"/>
          <w:szCs w:val="24"/>
          <w:lang w:eastAsia="cs-CZ"/>
        </w:rPr>
        <w:t xml:space="preserve">. </w:t>
      </w:r>
    </w:p>
    <w:p w14:paraId="47DEEC1B" w14:textId="4E3CD8E0" w:rsidR="00EC1584" w:rsidRPr="00B63076"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Dodávka </w:t>
      </w:r>
      <w:r w:rsidRPr="00B63076">
        <w:rPr>
          <w:rFonts w:ascii="Times New Roman" w:eastAsia="Times New Roman" w:hAnsi="Times New Roman" w:cs="Times New Roman"/>
          <w:color w:val="000000"/>
          <w:sz w:val="24"/>
          <w:szCs w:val="24"/>
          <w:lang w:eastAsia="cs-CZ"/>
        </w:rPr>
        <w:t>bude potvrzena podpisem akceptačního protokolu o předání a převzetí věci a dodacího listu oprávněnými osobami obou smluvních stran.</w:t>
      </w:r>
    </w:p>
    <w:p w14:paraId="309E34CC" w14:textId="77777777" w:rsidR="00EC1584" w:rsidRPr="00B63076"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Přechod nebezpečí škody, doprava a pojištění:</w:t>
      </w:r>
    </w:p>
    <w:p w14:paraId="405C4948"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nebezpečí škody na zboží přechází na kupujícího v okamžiku převzetí zboží v místě plnění,</w:t>
      </w:r>
    </w:p>
    <w:p w14:paraId="2F741A76"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přepravu zboží do ujednaného místa plnění sjednává prodávající vhodným dopravním prostředkem podle obvyklých zvyklostí, přepravné a pojištění platí prodávající.</w:t>
      </w:r>
    </w:p>
    <w:p w14:paraId="1427E967" w14:textId="77777777" w:rsidR="00EC1584" w:rsidRPr="00B63076"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Za doklady, nutné k převzetí a užívání zboží se považují:</w:t>
      </w:r>
    </w:p>
    <w:p w14:paraId="5A31C14C"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faktura a dodací list,</w:t>
      </w:r>
    </w:p>
    <w:p w14:paraId="41D1793E"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záruční list / předávací protokol.</w:t>
      </w:r>
    </w:p>
    <w:p w14:paraId="1C252A4C" w14:textId="77777777" w:rsidR="00EC1584" w:rsidRPr="00B63076"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lastRenderedPageBreak/>
        <w:t>Zboží bude baleno, loženo a řádně zajištěno pro účel přepravy podle obvyklých zvyklostí, pojištění zboží do okamžiku jeho předání a převzetí kupujícím zajišťuje prodávající.</w:t>
      </w:r>
    </w:p>
    <w:p w14:paraId="58D4793A" w14:textId="77777777" w:rsidR="00EC1584" w:rsidRPr="00B63076"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Prodávající se zaručuje, že veškeré dodávané zboží dle této smlouvy splňuje dále tyto požadavky:</w:t>
      </w:r>
    </w:p>
    <w:p w14:paraId="6A3B9B2E"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je nové, nepoužité;</w:t>
      </w:r>
    </w:p>
    <w:p w14:paraId="0BBD303F"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pochází výhradně z autorizovaného prodejního kanálu výrobce;</w:t>
      </w:r>
    </w:p>
    <w:p w14:paraId="73F09004"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je zařaditelné pod záruku výrobce;</w:t>
      </w:r>
    </w:p>
    <w:p w14:paraId="6ED1CCF5"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může být výrobcem podporováno v souladu se servisními podmínkami a podmínkami „support“ výrobce;</w:t>
      </w:r>
    </w:p>
    <w:p w14:paraId="01B0B53D"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zboží je licencováno na kupujícího, jakožto koncového uživatele;</w:t>
      </w:r>
    </w:p>
    <w:p w14:paraId="73259DBA" w14:textId="77777777" w:rsidR="00EC1584" w:rsidRPr="00B63076" w:rsidRDefault="00EC1584" w:rsidP="00EC1584">
      <w:pPr>
        <w:numPr>
          <w:ilvl w:val="1"/>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informace o prodeji zboží jsou reportovány zpět výrobci s uvedením kupujícího jako koncového uživatele.</w:t>
      </w:r>
    </w:p>
    <w:p w14:paraId="0520EE19" w14:textId="77777777" w:rsidR="00EC1584" w:rsidRDefault="00EC1584" w:rsidP="00EC1584">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Kupující si vyhrazuje právo neomezeně ověřit původ zboží dodávaného prodávajícím dle předmětu této smlouvy, včetně typu a délky servisní podpory zakoupené na dodávané zboží. V případě, že některá z věcí bude v rozporu s výše uvedenými požadavky uvedenými v bodu 6 tohoto článku, vyhrazuje si kupující právo neuzavřít tuto smlouvu s prodávajícím, vrátit bez jakékoliv sankce takové zboží zpět a dodávku neakceptovat.</w:t>
      </w:r>
    </w:p>
    <w:p w14:paraId="7AA6927A" w14:textId="77777777" w:rsidR="00EC1584" w:rsidRPr="00B63076" w:rsidRDefault="00EC1584" w:rsidP="00EC1584">
      <w:pPr>
        <w:spacing w:after="0" w:line="240" w:lineRule="auto"/>
        <w:ind w:left="340"/>
        <w:jc w:val="both"/>
        <w:rPr>
          <w:rFonts w:ascii="Times New Roman" w:eastAsia="Times New Roman" w:hAnsi="Times New Roman" w:cs="Times New Roman"/>
          <w:color w:val="000000"/>
          <w:sz w:val="24"/>
          <w:szCs w:val="24"/>
          <w:lang w:eastAsia="cs-CZ"/>
        </w:rPr>
      </w:pPr>
    </w:p>
    <w:p w14:paraId="40AE8AEA" w14:textId="77777777" w:rsidR="00EC1584" w:rsidRDefault="00EC1584" w:rsidP="00EC1584">
      <w:pPr>
        <w:spacing w:after="0" w:line="240" w:lineRule="auto"/>
        <w:jc w:val="both"/>
        <w:rPr>
          <w:rFonts w:ascii="Times New Roman" w:eastAsia="Times New Roman" w:hAnsi="Times New Roman" w:cs="Times New Roman"/>
          <w:color w:val="000000"/>
          <w:sz w:val="24"/>
          <w:szCs w:val="24"/>
          <w:highlight w:val="yellow"/>
          <w:lang w:eastAsia="cs-CZ"/>
        </w:rPr>
      </w:pPr>
    </w:p>
    <w:p w14:paraId="33510E56" w14:textId="77777777" w:rsidR="00EC1584" w:rsidRPr="00B63076" w:rsidRDefault="00EC1584" w:rsidP="00EC1584">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7</w:t>
      </w:r>
    </w:p>
    <w:p w14:paraId="479FD794" w14:textId="77777777" w:rsidR="00EC1584" w:rsidRPr="00B63076" w:rsidRDefault="00EC1584" w:rsidP="00EC1584">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Záruky</w:t>
      </w:r>
    </w:p>
    <w:p w14:paraId="5A1E168A"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Prodávající je povinen dodat zboží v množství, jakosti a provedení podle této smlouvy a jejích příloh.</w:t>
      </w:r>
    </w:p>
    <w:p w14:paraId="4F539ACD" w14:textId="170A8864" w:rsidR="00EC1584" w:rsidRPr="0021079F"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21079F">
        <w:rPr>
          <w:rFonts w:ascii="Times New Roman" w:eastAsia="Times New Roman" w:hAnsi="Times New Roman" w:cs="Times New Roman"/>
          <w:color w:val="000000"/>
          <w:sz w:val="24"/>
          <w:szCs w:val="24"/>
          <w:lang w:eastAsia="cs-CZ"/>
        </w:rPr>
        <w:t xml:space="preserve">Záruka na předmět dodávky bude poskytnuta v délce trvání minimálně </w:t>
      </w:r>
      <w:r w:rsidR="001572A2" w:rsidRPr="0021079F">
        <w:rPr>
          <w:rFonts w:ascii="Times New Roman" w:eastAsia="Times New Roman" w:hAnsi="Times New Roman" w:cs="Times New Roman"/>
          <w:color w:val="000000"/>
          <w:sz w:val="24"/>
          <w:szCs w:val="24"/>
          <w:lang w:eastAsia="cs-CZ"/>
        </w:rPr>
        <w:t>24 měsíců</w:t>
      </w:r>
      <w:r w:rsidRPr="0021079F">
        <w:rPr>
          <w:rFonts w:ascii="Times New Roman" w:eastAsia="Times New Roman" w:hAnsi="Times New Roman" w:cs="Times New Roman"/>
          <w:color w:val="000000"/>
          <w:sz w:val="24"/>
          <w:szCs w:val="24"/>
          <w:lang w:eastAsia="cs-CZ"/>
        </w:rPr>
        <w:t>.</w:t>
      </w:r>
    </w:p>
    <w:p w14:paraId="55668F2D" w14:textId="77777777" w:rsidR="00EC1584" w:rsidRPr="0021079F"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21079F">
        <w:rPr>
          <w:rFonts w:ascii="Times New Roman" w:eastAsia="Times New Roman" w:hAnsi="Times New Roman" w:cs="Times New Roman"/>
          <w:color w:val="000000"/>
          <w:sz w:val="24"/>
          <w:szCs w:val="24"/>
          <w:lang w:eastAsia="cs-CZ"/>
        </w:rPr>
        <w:t xml:space="preserve">Prodávající zajistí po dobu záruky na dodané zboží bezplatný servis v místě dodávky včetně, dopravy a náhradních dílů, s výjimkou případu, kdy bylo poškození zařízení prokazatelně způsobeno: </w:t>
      </w:r>
    </w:p>
    <w:p w14:paraId="5A8F8FFB" w14:textId="77777777" w:rsidR="00EC1584" w:rsidRPr="00B63076" w:rsidRDefault="00EC1584" w:rsidP="00EC1584">
      <w:pPr>
        <w:numPr>
          <w:ilvl w:val="1"/>
          <w:numId w:val="6"/>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použitím výrobku k jinému účelu, než je určen,</w:t>
      </w:r>
    </w:p>
    <w:p w14:paraId="509379D5" w14:textId="77777777" w:rsidR="00EC1584" w:rsidRPr="00B63076" w:rsidRDefault="00EC1584" w:rsidP="00EC1584">
      <w:pPr>
        <w:numPr>
          <w:ilvl w:val="1"/>
          <w:numId w:val="6"/>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nesprávnou manipulací provedením svévolných zásahů a změn nebo násilným poškozením s výjimkou výrobcem stanovených pravidelných údržbových prací,</w:t>
      </w:r>
    </w:p>
    <w:p w14:paraId="44B5BE90" w14:textId="77777777" w:rsidR="00EC1584" w:rsidRPr="00B63076" w:rsidRDefault="00EC1584" w:rsidP="00EC1584">
      <w:pPr>
        <w:numPr>
          <w:ilvl w:val="1"/>
          <w:numId w:val="6"/>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neoprávněným zásahem nepovolané třetí osoby,</w:t>
      </w:r>
    </w:p>
    <w:p w14:paraId="0B5C8085" w14:textId="77777777" w:rsidR="00EC1584" w:rsidRPr="00B63076" w:rsidRDefault="00EC1584" w:rsidP="00EC1584">
      <w:pPr>
        <w:numPr>
          <w:ilvl w:val="1"/>
          <w:numId w:val="6"/>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vlivem požáru okolí nebo jiné živelné katastrofy,</w:t>
      </w:r>
    </w:p>
    <w:p w14:paraId="76BB187F" w14:textId="77777777" w:rsidR="00EC1584" w:rsidRPr="00B63076" w:rsidRDefault="00EC1584" w:rsidP="00EC1584">
      <w:pPr>
        <w:numPr>
          <w:ilvl w:val="1"/>
          <w:numId w:val="6"/>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nesprávnou obsluhou ze strany kupujícího, nebo vyšší mocí,</w:t>
      </w:r>
    </w:p>
    <w:p w14:paraId="02A7CA75"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Oznámení o vadách musí obsahovat:</w:t>
      </w:r>
    </w:p>
    <w:p w14:paraId="7A0EA9F7"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kód kupní smlouvy a faktury,</w:t>
      </w:r>
    </w:p>
    <w:p w14:paraId="1F9B632B"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popis vady nebo přesné určení jak se projevuje,</w:t>
      </w:r>
    </w:p>
    <w:p w14:paraId="27382B89"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Kupující je povinen vady písemně oznámit prodávajícímu bez zbytečného odkladu po jejich zjištění, nejpozději do konce ujednané záruky a uplatnit svůj požadavek na vyřízení.</w:t>
      </w:r>
    </w:p>
    <w:p w14:paraId="30EAE21D"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Jestliže má dodané zboží vady, může kupující podle své volby požadovat:</w:t>
      </w:r>
    </w:p>
    <w:p w14:paraId="3DF146FB"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jde-li o vady provedení a jakosti – dodání náhradního zboží za zboží vadné, vadné zboží je povinen vrátit,</w:t>
      </w:r>
    </w:p>
    <w:p w14:paraId="6C3CD9DB"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jde-li o vady množství – dodání chybějícího množství,</w:t>
      </w:r>
    </w:p>
    <w:p w14:paraId="757E9C1E"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jde-li o vady právní – odstranění těchto vad,</w:t>
      </w:r>
    </w:p>
    <w:p w14:paraId="15382AF4"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jde-li o opravitelné vady jakosti nebo provedení – odstranění těchto vad opravou,</w:t>
      </w:r>
    </w:p>
    <w:p w14:paraId="26D49674" w14:textId="77777777" w:rsidR="00EC1584" w:rsidRPr="00B63076" w:rsidRDefault="00EC1584" w:rsidP="00EC1584">
      <w:pPr>
        <w:numPr>
          <w:ilvl w:val="1"/>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nebo přiměřenou slevou z kupní ceny.</w:t>
      </w:r>
    </w:p>
    <w:p w14:paraId="449CA261"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Volbu nároku má kupující, ale jen za předpokladu, že svou volbu oznámí ve včas zaslaném oznámení vad nebo bez odkladu poté, co vady zjistí. Jednou provedenou volbu nemůže kupující jednostranně změnit. V případě, že požadoval odstranění vad opravou a posléze se ukáže, že jde o vadu neodstranitelnou, nebo když prodávající prokáže, že by s opravou byly </w:t>
      </w:r>
      <w:r w:rsidRPr="00B63076">
        <w:rPr>
          <w:rFonts w:ascii="Times New Roman" w:eastAsia="Times New Roman" w:hAnsi="Times New Roman" w:cs="Times New Roman"/>
          <w:color w:val="000000"/>
          <w:sz w:val="24"/>
          <w:szCs w:val="24"/>
          <w:lang w:eastAsia="cs-CZ"/>
        </w:rPr>
        <w:lastRenderedPageBreak/>
        <w:t>spojeny nepřiměřené náklady, může namísto toho požadovat kupující dodání náhradního zboží. Podmínkou je, že změnu volby sdělí prodávajícímu bez zbytečného odkladu poté, kdy mu došlo oznámení prodávajícího o těchto skutečnostech.</w:t>
      </w:r>
    </w:p>
    <w:p w14:paraId="480E2C98"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Kupující má, vedle nároků ze záruky také nárok na náhradu škody s tím omezením, že jde o náhradu škody, která mu v důsledku vadného zboží vzešla. Je ujednáno, že újma spočívající ve vadách samotných, může být uspokojena pouze z odpovědnosti za vady ze záruky a škodu je nutné považovat v tomto vztahu jinou škodu než újmu, spočívající ve vadách samotných.</w:t>
      </w:r>
    </w:p>
    <w:p w14:paraId="62D19663"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Postup pro hlášení závad je prodávajícím uveden v samostatné příloze této smlouvy.</w:t>
      </w:r>
    </w:p>
    <w:p w14:paraId="1D8345A2" w14:textId="77777777" w:rsidR="00EC1584" w:rsidRPr="00B63076" w:rsidRDefault="00EC1584" w:rsidP="00EC1584">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Prodávající se zavazuje k tomu, že celkový souhrn vlastností provedeného díla bude uspokojovat stanovené potřeby, tj. využitelnost, bezpečnost, bezporuchovost. </w:t>
      </w:r>
    </w:p>
    <w:p w14:paraId="50132062" w14:textId="77777777" w:rsidR="00EC1584" w:rsidRDefault="00EC1584" w:rsidP="00EC1584">
      <w:pPr>
        <w:spacing w:after="0" w:line="240" w:lineRule="auto"/>
        <w:jc w:val="both"/>
        <w:rPr>
          <w:rFonts w:ascii="Times New Roman" w:eastAsia="Times New Roman" w:hAnsi="Times New Roman" w:cs="Times New Roman"/>
          <w:color w:val="000000"/>
          <w:sz w:val="24"/>
          <w:szCs w:val="24"/>
          <w:lang w:eastAsia="cs-CZ"/>
        </w:rPr>
      </w:pPr>
    </w:p>
    <w:p w14:paraId="08CE22DA" w14:textId="77777777" w:rsidR="00EC1584" w:rsidRPr="00B63076" w:rsidRDefault="00EC1584" w:rsidP="00EC1584">
      <w:pPr>
        <w:spacing w:after="0" w:line="240" w:lineRule="auto"/>
        <w:jc w:val="both"/>
        <w:rPr>
          <w:rFonts w:ascii="Times New Roman" w:eastAsia="Times New Roman" w:hAnsi="Times New Roman" w:cs="Times New Roman"/>
          <w:color w:val="000000"/>
          <w:sz w:val="24"/>
          <w:szCs w:val="24"/>
          <w:lang w:eastAsia="cs-CZ"/>
        </w:rPr>
      </w:pPr>
    </w:p>
    <w:p w14:paraId="671BB11A" w14:textId="77777777" w:rsidR="00EC1584" w:rsidRPr="00B63076" w:rsidRDefault="00EC1584" w:rsidP="00EC1584">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Čl. 8</w:t>
      </w:r>
    </w:p>
    <w:p w14:paraId="2C661D38" w14:textId="77777777" w:rsidR="00EC1584" w:rsidRPr="00B63076" w:rsidRDefault="00EC1584" w:rsidP="00EC1584">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Patenty a jiná průmyslová práva</w:t>
      </w:r>
    </w:p>
    <w:p w14:paraId="647BC0F6" w14:textId="77777777" w:rsidR="00EC1584" w:rsidRPr="00B63076" w:rsidRDefault="00EC1584" w:rsidP="00EC1584">
      <w:p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Prodávající prohlašuje, že zboží, které je předmětem této smlouvy, nemá žádné patentní nebo jiné právní vady.</w:t>
      </w:r>
    </w:p>
    <w:p w14:paraId="21E6EE4F" w14:textId="77777777" w:rsidR="00EC1584" w:rsidRPr="007F01BA" w:rsidRDefault="00EC1584" w:rsidP="00EC1584">
      <w:pPr>
        <w:spacing w:after="0" w:line="240" w:lineRule="auto"/>
        <w:jc w:val="both"/>
        <w:rPr>
          <w:rFonts w:ascii="Times New Roman" w:eastAsia="Times New Roman" w:hAnsi="Times New Roman" w:cs="Times New Roman"/>
          <w:color w:val="000000"/>
          <w:sz w:val="24"/>
          <w:szCs w:val="24"/>
          <w:highlight w:val="yellow"/>
          <w:lang w:eastAsia="cs-CZ"/>
        </w:rPr>
      </w:pPr>
    </w:p>
    <w:p w14:paraId="3423EC0A" w14:textId="722B629F" w:rsidR="00237964" w:rsidRPr="00AB77AE" w:rsidRDefault="00237964" w:rsidP="007F01BA">
      <w:pPr>
        <w:spacing w:after="0" w:line="240" w:lineRule="auto"/>
        <w:ind w:left="340"/>
        <w:jc w:val="both"/>
        <w:rPr>
          <w:rFonts w:ascii="Times New Roman" w:eastAsia="Times New Roman" w:hAnsi="Times New Roman" w:cs="Times New Roman"/>
          <w:color w:val="000000"/>
          <w:sz w:val="24"/>
          <w:szCs w:val="24"/>
          <w:lang w:eastAsia="cs-CZ"/>
        </w:rPr>
      </w:pPr>
    </w:p>
    <w:p w14:paraId="3326C73B" w14:textId="77777777" w:rsidR="00B63076" w:rsidRDefault="00B63076" w:rsidP="00B63076">
      <w:pPr>
        <w:spacing w:after="0" w:line="240" w:lineRule="auto"/>
        <w:jc w:val="both"/>
        <w:rPr>
          <w:rFonts w:ascii="Times New Roman" w:eastAsia="Times New Roman" w:hAnsi="Times New Roman" w:cs="Times New Roman"/>
          <w:color w:val="000000"/>
          <w:sz w:val="24"/>
          <w:szCs w:val="24"/>
          <w:lang w:eastAsia="cs-CZ"/>
        </w:rPr>
      </w:pPr>
    </w:p>
    <w:p w14:paraId="3326C73C" w14:textId="77777777" w:rsidR="007A0A3D" w:rsidRPr="00B63076" w:rsidRDefault="007A0A3D" w:rsidP="00B63076">
      <w:pPr>
        <w:spacing w:after="0" w:line="240" w:lineRule="auto"/>
        <w:jc w:val="both"/>
        <w:rPr>
          <w:rFonts w:ascii="Times New Roman" w:eastAsia="Times New Roman" w:hAnsi="Times New Roman" w:cs="Times New Roman"/>
          <w:color w:val="000000"/>
          <w:sz w:val="24"/>
          <w:szCs w:val="24"/>
          <w:lang w:eastAsia="cs-CZ"/>
        </w:rPr>
      </w:pPr>
    </w:p>
    <w:p w14:paraId="3326C73D" w14:textId="4E33D6D6" w:rsidR="00B63076" w:rsidRPr="00B63076" w:rsidRDefault="00AB77AE" w:rsidP="00B63076">
      <w:pPr>
        <w:spacing w:after="0" w:line="24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 xml:space="preserve">Čl. </w:t>
      </w:r>
      <w:r w:rsidR="00EC1584">
        <w:rPr>
          <w:rFonts w:ascii="Times New Roman" w:eastAsia="Times New Roman" w:hAnsi="Times New Roman" w:cs="Times New Roman"/>
          <w:b/>
          <w:color w:val="000000"/>
          <w:sz w:val="24"/>
          <w:szCs w:val="24"/>
          <w:lang w:eastAsia="cs-CZ"/>
        </w:rPr>
        <w:t>9</w:t>
      </w:r>
    </w:p>
    <w:p w14:paraId="3326C73E"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Smluvní pokuty</w:t>
      </w:r>
    </w:p>
    <w:p w14:paraId="3326C73F" w14:textId="5895A22B" w:rsidR="00B63076" w:rsidRPr="00B63076" w:rsidRDefault="00B63076" w:rsidP="00B63076">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 případě, že prodávající nedodrží dobu plnění, sjednanou v této smlouvě, uhradí kupujícímu smluvní pokutu ve výši 0,</w:t>
      </w:r>
      <w:r w:rsidR="003726C7">
        <w:rPr>
          <w:rFonts w:ascii="Times New Roman" w:eastAsia="Times New Roman" w:hAnsi="Times New Roman" w:cs="Times New Roman"/>
          <w:color w:val="000000"/>
          <w:sz w:val="24"/>
          <w:szCs w:val="24"/>
          <w:lang w:eastAsia="cs-CZ"/>
        </w:rPr>
        <w:t>1</w:t>
      </w:r>
      <w:r w:rsidRPr="00B63076">
        <w:rPr>
          <w:rFonts w:ascii="Times New Roman" w:eastAsia="Times New Roman" w:hAnsi="Times New Roman" w:cs="Times New Roman"/>
          <w:color w:val="000000"/>
          <w:sz w:val="24"/>
          <w:szCs w:val="24"/>
          <w:lang w:eastAsia="cs-CZ"/>
        </w:rPr>
        <w:t>% z ceny z nedodaného zboží za každý den prodlení.</w:t>
      </w:r>
    </w:p>
    <w:p w14:paraId="3326C740" w14:textId="77777777" w:rsidR="00B63076" w:rsidRPr="00B63076" w:rsidRDefault="00B63076" w:rsidP="00B63076">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 případě prodlení kupujícího s placením faktury za dodané zboží uhradí kupující prodávajícímu smluvní úrok z prodlení ve výši 0,1% z celkové nezaplacené částky za každý den prodlení.</w:t>
      </w:r>
    </w:p>
    <w:p w14:paraId="3326C741" w14:textId="77777777" w:rsid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p>
    <w:p w14:paraId="3326C742" w14:textId="77777777" w:rsidR="007A0A3D" w:rsidRPr="00B63076" w:rsidRDefault="007A0A3D" w:rsidP="00B63076">
      <w:pPr>
        <w:spacing w:after="0" w:line="240" w:lineRule="auto"/>
        <w:jc w:val="center"/>
        <w:rPr>
          <w:rFonts w:ascii="Times New Roman" w:eastAsia="Times New Roman" w:hAnsi="Times New Roman" w:cs="Times New Roman"/>
          <w:b/>
          <w:color w:val="000000"/>
          <w:sz w:val="24"/>
          <w:szCs w:val="24"/>
          <w:lang w:eastAsia="cs-CZ"/>
        </w:rPr>
      </w:pPr>
    </w:p>
    <w:p w14:paraId="3326C743" w14:textId="7E91020F" w:rsidR="00B63076" w:rsidRPr="00B63076" w:rsidRDefault="00EC1584" w:rsidP="00B63076">
      <w:pPr>
        <w:spacing w:after="0" w:line="24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Čl. 10</w:t>
      </w:r>
    </w:p>
    <w:p w14:paraId="3326C744"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Právo odstoupit od smlouvy</w:t>
      </w:r>
    </w:p>
    <w:p w14:paraId="3326C745" w14:textId="77777777" w:rsidR="00B63076" w:rsidRPr="00B63076" w:rsidRDefault="00B63076" w:rsidP="00B63076">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Kupující je oprávněn odstoupit od smlouvy v případě, že prodávající je v prodlení s plněním dodávek o více než 30 (slovy třiceti) dnů od sjednané dodací lhůty nebo dodal nekvalitní zboží a, ač kupujícím upozorněn, neprodleně nezjednal nápravu.</w:t>
      </w:r>
    </w:p>
    <w:p w14:paraId="3326C746" w14:textId="77777777" w:rsidR="00B63076" w:rsidRPr="00B63076" w:rsidRDefault="00B63076" w:rsidP="00B63076">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Kupující je oprávněn odstoupit od smlouvy v případě, že prodávající nedodrží sjednané záruční podmínky a to ani po předchozím upozornění kupujícím.</w:t>
      </w:r>
    </w:p>
    <w:p w14:paraId="3326C747" w14:textId="77777777" w:rsidR="00B63076" w:rsidRPr="00B63076" w:rsidRDefault="00B63076" w:rsidP="00B63076">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Prodávající je oprávněn odstoupit od smlouvy v případě, že kupující nezaplatí kupní cenu do 60 (slovy šedesáti) dnů po uplynutí ujednané platební lhůty,</w:t>
      </w:r>
    </w:p>
    <w:p w14:paraId="3326C748" w14:textId="77777777" w:rsidR="00B63076" w:rsidRPr="00B63076" w:rsidRDefault="00B63076" w:rsidP="00B63076">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Předčasné ukončení smlouvy je možné rovněž dohodou smluvních stran nebo výpovědí jednou ze smluvních stran. Výpověď musí být písemná, není třeba ji odůvodňovat, výpovědní lhůta se sjednává jednoměsíční a začíná běžet od prvého dne měsíce následujícího po doručení výpovědi. V případě pochybností se má za doručenou třetím dnem po odeslání.</w:t>
      </w:r>
    </w:p>
    <w:p w14:paraId="3326C749" w14:textId="77777777" w:rsidR="00B63076" w:rsidRPr="00B63076" w:rsidRDefault="00B63076" w:rsidP="00B63076">
      <w:pPr>
        <w:numPr>
          <w:ilvl w:val="0"/>
          <w:numId w:val="7"/>
        </w:numPr>
        <w:spacing w:after="0" w:line="240" w:lineRule="auto"/>
        <w:jc w:val="both"/>
        <w:rPr>
          <w:rFonts w:ascii="Times New Roman" w:eastAsia="Times New Roman" w:hAnsi="Times New Roman" w:cs="Times New Roman"/>
          <w:color w:val="000000"/>
          <w:lang w:eastAsia="cs-CZ"/>
        </w:rPr>
      </w:pPr>
      <w:r w:rsidRPr="00B63076">
        <w:rPr>
          <w:rFonts w:ascii="Times New Roman" w:eastAsia="Times New Roman" w:hAnsi="Times New Roman" w:cs="Times New Roman"/>
          <w:color w:val="000000"/>
          <w:sz w:val="24"/>
          <w:szCs w:val="24"/>
          <w:lang w:eastAsia="cs-CZ"/>
        </w:rPr>
        <w:t>Pro případ předčasného ukončení smlouvy (odstoupení od smlouvy, dohoda, výpověď) není kupující povinen odebrat a uhradit zbývající část z celkového objemu této smlouvy</w:t>
      </w:r>
      <w:r w:rsidRPr="00B63076">
        <w:rPr>
          <w:rFonts w:ascii="Times New Roman" w:eastAsia="Times New Roman" w:hAnsi="Times New Roman" w:cs="Times New Roman"/>
          <w:color w:val="000000"/>
          <w:lang w:eastAsia="cs-CZ"/>
        </w:rPr>
        <w:t>.</w:t>
      </w:r>
    </w:p>
    <w:p w14:paraId="3326C74A" w14:textId="77777777" w:rsid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p>
    <w:p w14:paraId="7F7E84CB" w14:textId="77777777" w:rsidR="004A5BF1" w:rsidRDefault="004A5BF1" w:rsidP="00B63076">
      <w:pPr>
        <w:spacing w:after="0" w:line="240" w:lineRule="auto"/>
        <w:jc w:val="center"/>
        <w:rPr>
          <w:rFonts w:ascii="Times New Roman" w:eastAsia="Times New Roman" w:hAnsi="Times New Roman" w:cs="Times New Roman"/>
          <w:b/>
          <w:color w:val="000000"/>
          <w:sz w:val="24"/>
          <w:szCs w:val="24"/>
          <w:lang w:eastAsia="cs-CZ"/>
        </w:rPr>
      </w:pPr>
    </w:p>
    <w:p w14:paraId="33B96771" w14:textId="77777777" w:rsidR="004A5BF1" w:rsidRDefault="004A5BF1" w:rsidP="00B63076">
      <w:pPr>
        <w:spacing w:after="0" w:line="240" w:lineRule="auto"/>
        <w:jc w:val="center"/>
        <w:rPr>
          <w:rFonts w:ascii="Times New Roman" w:eastAsia="Times New Roman" w:hAnsi="Times New Roman" w:cs="Times New Roman"/>
          <w:b/>
          <w:color w:val="000000"/>
          <w:sz w:val="24"/>
          <w:szCs w:val="24"/>
          <w:lang w:eastAsia="cs-CZ"/>
        </w:rPr>
      </w:pPr>
    </w:p>
    <w:p w14:paraId="16F2EDB8" w14:textId="6B98065B" w:rsidR="000C3A77" w:rsidRDefault="000C3A77" w:rsidP="00B63076">
      <w:pPr>
        <w:spacing w:after="0" w:line="240" w:lineRule="auto"/>
        <w:jc w:val="center"/>
        <w:rPr>
          <w:rFonts w:ascii="Times New Roman" w:eastAsia="Times New Roman" w:hAnsi="Times New Roman" w:cs="Times New Roman"/>
          <w:b/>
          <w:color w:val="000000"/>
          <w:sz w:val="24"/>
          <w:szCs w:val="24"/>
          <w:lang w:eastAsia="cs-CZ"/>
        </w:rPr>
      </w:pPr>
    </w:p>
    <w:p w14:paraId="29C0FC33" w14:textId="77777777" w:rsidR="000C3A77" w:rsidRDefault="000C3A77" w:rsidP="00B63076">
      <w:pPr>
        <w:spacing w:after="0" w:line="240" w:lineRule="auto"/>
        <w:jc w:val="center"/>
        <w:rPr>
          <w:rFonts w:ascii="Times New Roman" w:eastAsia="Times New Roman" w:hAnsi="Times New Roman" w:cs="Times New Roman"/>
          <w:b/>
          <w:color w:val="000000"/>
          <w:sz w:val="24"/>
          <w:szCs w:val="24"/>
          <w:lang w:eastAsia="cs-CZ"/>
        </w:rPr>
      </w:pPr>
    </w:p>
    <w:p w14:paraId="3326C74B" w14:textId="203BA362" w:rsidR="00B63076" w:rsidRPr="00B63076" w:rsidRDefault="00EC1584" w:rsidP="00B63076">
      <w:pPr>
        <w:spacing w:after="0" w:line="24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Čl. 11</w:t>
      </w:r>
    </w:p>
    <w:p w14:paraId="3326C74C"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Okolnosti vylučující odpovědnost</w:t>
      </w:r>
    </w:p>
    <w:p w14:paraId="3326C74D" w14:textId="77777777" w:rsidR="00B63076" w:rsidRPr="00B63076" w:rsidRDefault="00B63076" w:rsidP="00B63076">
      <w:pPr>
        <w:numPr>
          <w:ilvl w:val="0"/>
          <w:numId w:val="9"/>
        </w:numPr>
        <w:tabs>
          <w:tab w:val="num" w:pos="720"/>
        </w:tabs>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Odpovědnost stran za částečné nebo úplné naplnění smluvních povinností je vyloučena, jestliže se tak stalo:</w:t>
      </w:r>
    </w:p>
    <w:p w14:paraId="3326C74E" w14:textId="77777777" w:rsidR="00B63076" w:rsidRPr="00B63076" w:rsidRDefault="00B63076" w:rsidP="00B63076">
      <w:pPr>
        <w:numPr>
          <w:ilvl w:val="1"/>
          <w:numId w:val="9"/>
        </w:numPr>
        <w:tabs>
          <w:tab w:val="num" w:pos="1440"/>
        </w:tabs>
        <w:spacing w:after="0" w:line="240" w:lineRule="auto"/>
        <w:ind w:left="1440"/>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 důsledku vyšší moci. Pokud vyšší moc působí po dobu nepřesahující 90 (slovy devadesát) dnů, jsou strany povinny splnit závazky vyplývající z této smlouvy, jakmile účinky vyšší moci pominou, přičemž dodací lhůty a všechny ostatní lhůty se posouvají o dobu působení vyšší moci. Za vyšší moc nelze pokládat zpoždění dodávek od subdodavatelů, výluky a stávky.</w:t>
      </w:r>
    </w:p>
    <w:p w14:paraId="3326C74F" w14:textId="77777777" w:rsidR="00B63076" w:rsidRPr="00B63076" w:rsidRDefault="00B63076" w:rsidP="00B63076">
      <w:pPr>
        <w:numPr>
          <w:ilvl w:val="1"/>
          <w:numId w:val="9"/>
        </w:numPr>
        <w:tabs>
          <w:tab w:val="num" w:pos="1440"/>
        </w:tabs>
        <w:spacing w:after="0" w:line="240" w:lineRule="auto"/>
        <w:ind w:left="1440"/>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 důsledku zásahu úředních míst, který znemožní stranám splnění povinností vyplývajících z této smlouvy.</w:t>
      </w:r>
    </w:p>
    <w:p w14:paraId="3326C750" w14:textId="77777777" w:rsidR="00B63076" w:rsidRDefault="00B63076" w:rsidP="00B63076">
      <w:pPr>
        <w:spacing w:after="0" w:line="240" w:lineRule="auto"/>
        <w:jc w:val="both"/>
        <w:rPr>
          <w:rFonts w:ascii="Times New Roman" w:eastAsia="Times New Roman" w:hAnsi="Times New Roman" w:cs="Times New Roman"/>
          <w:color w:val="000000"/>
          <w:sz w:val="24"/>
          <w:szCs w:val="24"/>
          <w:lang w:eastAsia="cs-CZ"/>
        </w:rPr>
      </w:pPr>
    </w:p>
    <w:p w14:paraId="3326C751" w14:textId="77777777" w:rsidR="007A0A3D" w:rsidRPr="00B63076" w:rsidRDefault="007A0A3D" w:rsidP="00B63076">
      <w:pPr>
        <w:spacing w:after="0" w:line="240" w:lineRule="auto"/>
        <w:jc w:val="both"/>
        <w:rPr>
          <w:rFonts w:ascii="Times New Roman" w:eastAsia="Times New Roman" w:hAnsi="Times New Roman" w:cs="Times New Roman"/>
          <w:color w:val="000000"/>
          <w:sz w:val="24"/>
          <w:szCs w:val="24"/>
          <w:lang w:eastAsia="cs-CZ"/>
        </w:rPr>
      </w:pPr>
    </w:p>
    <w:p w14:paraId="3326C752" w14:textId="7BFDB379" w:rsidR="00B63076" w:rsidRPr="00B63076" w:rsidRDefault="00EC1584" w:rsidP="00B63076">
      <w:pPr>
        <w:spacing w:after="0" w:line="24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Čl. 12</w:t>
      </w:r>
    </w:p>
    <w:p w14:paraId="3326C753" w14:textId="77777777" w:rsidR="00B63076" w:rsidRPr="00B63076" w:rsidRDefault="00B63076" w:rsidP="00B63076">
      <w:pPr>
        <w:spacing w:after="0" w:line="240" w:lineRule="auto"/>
        <w:jc w:val="center"/>
        <w:rPr>
          <w:rFonts w:ascii="Times New Roman" w:eastAsia="Times New Roman" w:hAnsi="Times New Roman" w:cs="Times New Roman"/>
          <w:b/>
          <w:color w:val="000000"/>
          <w:sz w:val="24"/>
          <w:szCs w:val="24"/>
          <w:lang w:eastAsia="cs-CZ"/>
        </w:rPr>
      </w:pPr>
      <w:r w:rsidRPr="00B63076">
        <w:rPr>
          <w:rFonts w:ascii="Times New Roman" w:eastAsia="Times New Roman" w:hAnsi="Times New Roman" w:cs="Times New Roman"/>
          <w:b/>
          <w:color w:val="000000"/>
          <w:sz w:val="24"/>
          <w:szCs w:val="24"/>
          <w:lang w:eastAsia="cs-CZ"/>
        </w:rPr>
        <w:t>Všeobecná ujednání</w:t>
      </w:r>
    </w:p>
    <w:p w14:paraId="3326C754" w14:textId="77777777" w:rsidR="00B63076" w:rsidRPr="001572A2"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1572A2">
        <w:rPr>
          <w:rFonts w:ascii="Times New Roman" w:eastAsia="Times New Roman" w:hAnsi="Times New Roman" w:cs="Times New Roman"/>
          <w:color w:val="000000"/>
          <w:sz w:val="24"/>
          <w:szCs w:val="24"/>
          <w:lang w:eastAsia="cs-CZ"/>
        </w:rPr>
        <w:t>Tato smlouva je uzavřena dle Zákona č. 89/2012 – Občanský zákoník.</w:t>
      </w:r>
    </w:p>
    <w:p w14:paraId="3326C755" w14:textId="6B69F6A4"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Smlouva nabývá platnosti dnem jejího podpisu oběma smluvními stranami.</w:t>
      </w:r>
    </w:p>
    <w:p w14:paraId="3326C756"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Všechny nároky musí být uplatněny doporučeným dopisem. Za datum uplatnění se považuje datum podacího razítka poštovního úřadu. Na místo doporučeného dopisu lze použít datovou schránku.</w:t>
      </w:r>
    </w:p>
    <w:p w14:paraId="3326C757"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Pokud se v této smlouvě používají výrazy „do“, „nejpozději do“, „od“ a výrazy podobného významu, vztahující se k jakékoli časové lhůtě, budou vykládány tak, že zahrnují uvedené datum. Výraz „po“ bude vykládán tak, že nezahrnuje uvedené datum. Termín „ročně“ a sezóna“ zahrnuje období od 1. 1. do 31. 12. běžného roku.</w:t>
      </w:r>
    </w:p>
    <w:p w14:paraId="3326C758" w14:textId="6D1613EA"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Jakékoli změny a dodatky této smlouvy musí být učiněny písemně a schváleny podpisem obou stran. Tyto dodatky se stanou integrální součástí této smlouvy. Dodatky budou číslovány vzestupně</w:t>
      </w:r>
      <w:r w:rsidR="00264F9B">
        <w:rPr>
          <w:rFonts w:ascii="Times New Roman" w:eastAsia="Times New Roman" w:hAnsi="Times New Roman" w:cs="Times New Roman"/>
          <w:color w:val="000000"/>
          <w:sz w:val="24"/>
          <w:szCs w:val="24"/>
          <w:lang w:eastAsia="cs-CZ"/>
        </w:rPr>
        <w:t>.</w:t>
      </w:r>
      <w:r w:rsidRPr="00B63076">
        <w:rPr>
          <w:rFonts w:ascii="Times New Roman" w:eastAsia="Times New Roman" w:hAnsi="Times New Roman" w:cs="Times New Roman"/>
          <w:color w:val="000000"/>
          <w:sz w:val="24"/>
          <w:szCs w:val="24"/>
          <w:lang w:eastAsia="cs-CZ"/>
        </w:rPr>
        <w:t xml:space="preserve"> </w:t>
      </w:r>
    </w:p>
    <w:p w14:paraId="3326C759"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Ve všech případech odstoupení od smlouvy jsou strany povinny vrátit si vzájemná plnění.</w:t>
      </w:r>
    </w:p>
    <w:p w14:paraId="3326C75A"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Veškeré informace, jež si smluvní strany navzájem poskytnou, jsou označeny jako důvěrné a žádná ze smluvních stran není oprávněna je poskytnout třetí osobě ani použít v rozporu s jejich účelem pro své potřeby.</w:t>
      </w:r>
    </w:p>
    <w:p w14:paraId="6F2F7097" w14:textId="77777777" w:rsidR="00F60A31" w:rsidRPr="00F60A31" w:rsidRDefault="00F60A31" w:rsidP="00F60A31">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60A31">
        <w:rPr>
          <w:rFonts w:ascii="Times New Roman" w:eastAsia="Times New Roman" w:hAnsi="Times New Roman" w:cs="Times New Roman"/>
          <w:color w:val="000000"/>
          <w:sz w:val="24"/>
          <w:szCs w:val="24"/>
          <w:lang w:eastAsia="cs-CZ"/>
        </w:rPr>
        <w:t>Smluvní strany jsou oprávněny zveřejnit veškerý obsah této smlouvy, budou-li o to požádány dle zákona č. 106 / 99 Sb.</w:t>
      </w:r>
    </w:p>
    <w:p w14:paraId="09FF3A5C" w14:textId="77777777" w:rsidR="00F60A31" w:rsidRPr="00F60A31" w:rsidRDefault="00F60A31" w:rsidP="00F60A31">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60A31">
        <w:rPr>
          <w:rFonts w:ascii="Times New Roman" w:eastAsia="Times New Roman" w:hAnsi="Times New Roman" w:cs="Times New Roman"/>
          <w:color w:val="000000"/>
          <w:sz w:val="24"/>
          <w:szCs w:val="24"/>
          <w:lang w:eastAsia="cs-CZ"/>
        </w:rPr>
        <w:t>Smluvní strany berou na vědomí, že tato smlouva bude zveřejněna v registru smluv podle zákona č. 340/2015 Sb. (zákon o registru smluv).</w:t>
      </w:r>
    </w:p>
    <w:p w14:paraId="1F6E854F" w14:textId="77777777" w:rsidR="00F60A31" w:rsidRPr="00F60A31" w:rsidRDefault="00F60A31" w:rsidP="00F60A31">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60A31">
        <w:rPr>
          <w:rFonts w:ascii="Times New Roman" w:eastAsia="Times New Roman" w:hAnsi="Times New Roman" w:cs="Times New Roman"/>
          <w:color w:val="000000"/>
          <w:sz w:val="24"/>
          <w:szCs w:val="24"/>
          <w:lang w:eastAsia="cs-CZ"/>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DFCEFC7" w14:textId="77777777" w:rsidR="00F60A31" w:rsidRPr="00F60A31" w:rsidRDefault="00F60A31" w:rsidP="00F60A31">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60A31">
        <w:rPr>
          <w:rFonts w:ascii="Times New Roman" w:eastAsia="Times New Roman" w:hAnsi="Times New Roman" w:cs="Times New Roman"/>
          <w:color w:val="000000"/>
          <w:sz w:val="24"/>
          <w:szCs w:val="24"/>
          <w:lang w:eastAsia="cs-CZ"/>
        </w:rPr>
        <w:t xml:space="preserve">Smlouva nabývá účinnosti nejdříve dnem uveřejnění v registru smluv v souladu s § 6 odst. 1 zákona č. 340/2015 Sb. (zákon o registru smluv). </w:t>
      </w:r>
    </w:p>
    <w:p w14:paraId="3533F447" w14:textId="1B879B75" w:rsidR="00E00FE1" w:rsidRPr="00B63076" w:rsidRDefault="00F60A31" w:rsidP="00F60A31">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F60A31">
        <w:rPr>
          <w:rFonts w:ascii="Times New Roman" w:eastAsia="Times New Roman" w:hAnsi="Times New Roman" w:cs="Times New Roman"/>
          <w:color w:val="000000"/>
          <w:sz w:val="24"/>
          <w:szCs w:val="24"/>
          <w:lang w:eastAsia="cs-CZ"/>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3326C75C"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Integrální součástí této smlouvy jsou přílohy, které budou takto označeny a podepsány oběma stranami s uvedením data.</w:t>
      </w:r>
    </w:p>
    <w:p w14:paraId="3326C75D" w14:textId="77777777" w:rsidR="00B63076" w:rsidRPr="00B63076" w:rsidRDefault="00B63076" w:rsidP="00B63076">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Osoby pověřené jednáním dle této smlouvy:</w:t>
      </w:r>
    </w:p>
    <w:p w14:paraId="3326C75E" w14:textId="69CD778D" w:rsidR="00B63076" w:rsidRPr="00B63076" w:rsidRDefault="00B63076" w:rsidP="00B63076">
      <w:pPr>
        <w:numPr>
          <w:ilvl w:val="0"/>
          <w:numId w:val="10"/>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lastRenderedPageBreak/>
        <w:t xml:space="preserve">Kupující tímto prohlašuje, že jednáním ve věcech smluvních je pověřen Ing. Jaroslav Bureš, MBA, </w:t>
      </w:r>
      <w:r w:rsidR="00F60A31">
        <w:rPr>
          <w:rFonts w:ascii="Times New Roman" w:eastAsia="Times New Roman" w:hAnsi="Times New Roman" w:cs="Times New Roman"/>
          <w:color w:val="000000"/>
          <w:sz w:val="24"/>
          <w:szCs w:val="24"/>
          <w:lang w:eastAsia="cs-CZ"/>
        </w:rPr>
        <w:t xml:space="preserve">statutární </w:t>
      </w:r>
      <w:r w:rsidRPr="00B63076">
        <w:rPr>
          <w:rFonts w:ascii="Times New Roman" w:eastAsia="Times New Roman" w:hAnsi="Times New Roman" w:cs="Times New Roman"/>
          <w:color w:val="000000"/>
          <w:sz w:val="24"/>
          <w:szCs w:val="24"/>
          <w:lang w:eastAsia="cs-CZ"/>
        </w:rPr>
        <w:t xml:space="preserve">ředitel a ve věcech technických a podpisu akceptačního protokolu </w:t>
      </w:r>
      <w:r w:rsidR="00264F9B">
        <w:rPr>
          <w:rFonts w:ascii="Times New Roman" w:eastAsia="Times New Roman" w:hAnsi="Times New Roman" w:cs="Times New Roman"/>
          <w:color w:val="000000"/>
          <w:sz w:val="24"/>
          <w:szCs w:val="24"/>
          <w:lang w:eastAsia="cs-CZ"/>
        </w:rPr>
        <w:t xml:space="preserve">Anna </w:t>
      </w:r>
      <w:proofErr w:type="spellStart"/>
      <w:r w:rsidR="00264F9B">
        <w:rPr>
          <w:rFonts w:ascii="Times New Roman" w:eastAsia="Times New Roman" w:hAnsi="Times New Roman" w:cs="Times New Roman"/>
          <w:color w:val="000000"/>
          <w:sz w:val="24"/>
          <w:szCs w:val="24"/>
          <w:lang w:eastAsia="cs-CZ"/>
        </w:rPr>
        <w:t>Löfflerová</w:t>
      </w:r>
      <w:proofErr w:type="spellEnd"/>
      <w:r w:rsidRPr="00B63076">
        <w:rPr>
          <w:rFonts w:ascii="Times New Roman" w:eastAsia="Times New Roman" w:hAnsi="Times New Roman" w:cs="Times New Roman"/>
          <w:color w:val="000000"/>
          <w:sz w:val="24"/>
          <w:szCs w:val="24"/>
          <w:lang w:eastAsia="cs-CZ"/>
        </w:rPr>
        <w:t>, manažer</w:t>
      </w:r>
      <w:r w:rsidR="00264F9B">
        <w:rPr>
          <w:rFonts w:ascii="Times New Roman" w:eastAsia="Times New Roman" w:hAnsi="Times New Roman" w:cs="Times New Roman"/>
          <w:color w:val="000000"/>
          <w:sz w:val="24"/>
          <w:szCs w:val="24"/>
          <w:lang w:eastAsia="cs-CZ"/>
        </w:rPr>
        <w:t>ka</w:t>
      </w:r>
      <w:r w:rsidRPr="00B63076">
        <w:rPr>
          <w:rFonts w:ascii="Times New Roman" w:eastAsia="Times New Roman" w:hAnsi="Times New Roman" w:cs="Times New Roman"/>
          <w:color w:val="000000"/>
          <w:sz w:val="24"/>
          <w:szCs w:val="24"/>
          <w:lang w:eastAsia="cs-CZ"/>
        </w:rPr>
        <w:t xml:space="preserve"> úseku IT.</w:t>
      </w:r>
    </w:p>
    <w:p w14:paraId="3326C75F" w14:textId="77777777" w:rsidR="00B63076" w:rsidRPr="00B63076" w:rsidRDefault="00B63076" w:rsidP="00B63076">
      <w:pPr>
        <w:numPr>
          <w:ilvl w:val="0"/>
          <w:numId w:val="10"/>
        </w:numPr>
        <w:spacing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Prodávající tímto prohlašuje, že jednáním ve věcech této kupní smlouvy je pověřen:</w:t>
      </w:r>
    </w:p>
    <w:p w14:paraId="3326C760" w14:textId="6FEE5EAB" w:rsidR="00B63076" w:rsidRPr="00B63076" w:rsidRDefault="00B63076" w:rsidP="00B63076">
      <w:pPr>
        <w:spacing w:after="0" w:line="240" w:lineRule="auto"/>
        <w:ind w:left="1068"/>
        <w:jc w:val="both"/>
        <w:rPr>
          <w:rFonts w:ascii="Times New Roman" w:eastAsia="Times New Roman" w:hAnsi="Times New Roman" w:cs="Times New Roman"/>
          <w:color w:val="000000"/>
          <w:sz w:val="24"/>
          <w:szCs w:val="24"/>
          <w:lang w:eastAsia="cs-CZ"/>
        </w:rPr>
      </w:pPr>
      <w:proofErr w:type="spellStart"/>
      <w:r w:rsidRPr="00B63076">
        <w:rPr>
          <w:rFonts w:ascii="Times New Roman" w:eastAsia="Times New Roman" w:hAnsi="Times New Roman" w:cs="Times New Roman"/>
          <w:color w:val="000000"/>
          <w:sz w:val="24"/>
          <w:szCs w:val="24"/>
          <w:lang w:eastAsia="cs-CZ"/>
        </w:rPr>
        <w:t>Titl</w:t>
      </w:r>
      <w:proofErr w:type="spellEnd"/>
      <w:r w:rsidRPr="00B63076">
        <w:rPr>
          <w:rFonts w:ascii="Times New Roman" w:eastAsia="Times New Roman" w:hAnsi="Times New Roman" w:cs="Times New Roman"/>
          <w:color w:val="000000"/>
          <w:sz w:val="24"/>
          <w:szCs w:val="24"/>
          <w:lang w:eastAsia="cs-CZ"/>
        </w:rPr>
        <w:t xml:space="preserve">., jméno a příjmení: </w:t>
      </w:r>
      <w:r w:rsidR="003726C7" w:rsidRPr="003726C7">
        <w:rPr>
          <w:rFonts w:ascii="Times New Roman" w:eastAsia="Times New Roman" w:hAnsi="Times New Roman" w:cs="Times New Roman"/>
          <w:sz w:val="24"/>
          <w:szCs w:val="24"/>
          <w:highlight w:val="yellow"/>
          <w:lang w:eastAsia="cs-CZ"/>
        </w:rPr>
        <w:t xml:space="preserve">( doplní </w:t>
      </w:r>
      <w:proofErr w:type="gramStart"/>
      <w:r w:rsidR="003726C7" w:rsidRPr="003726C7">
        <w:rPr>
          <w:rFonts w:ascii="Times New Roman" w:eastAsia="Times New Roman" w:hAnsi="Times New Roman" w:cs="Times New Roman"/>
          <w:sz w:val="24"/>
          <w:szCs w:val="24"/>
          <w:highlight w:val="yellow"/>
          <w:lang w:eastAsia="cs-CZ"/>
        </w:rPr>
        <w:t>uchazeč )</w:t>
      </w:r>
      <w:proofErr w:type="gramEnd"/>
    </w:p>
    <w:p w14:paraId="3326C761" w14:textId="308639DE" w:rsidR="00B63076" w:rsidRPr="00B63076" w:rsidRDefault="00B63076" w:rsidP="00B63076">
      <w:pPr>
        <w:spacing w:after="0" w:line="240" w:lineRule="auto"/>
        <w:ind w:left="1068"/>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Telefon: </w:t>
      </w:r>
      <w:r w:rsidRPr="00B63076">
        <w:rPr>
          <w:rFonts w:ascii="Times New Roman" w:eastAsia="Times New Roman" w:hAnsi="Times New Roman" w:cs="Times New Roman"/>
          <w:sz w:val="24"/>
          <w:szCs w:val="24"/>
          <w:lang w:eastAsia="cs-CZ"/>
        </w:rPr>
        <w:t>+420 </w:t>
      </w:r>
      <w:r w:rsidR="003726C7" w:rsidRPr="003726C7">
        <w:rPr>
          <w:rFonts w:ascii="Times New Roman" w:eastAsia="Times New Roman" w:hAnsi="Times New Roman" w:cs="Times New Roman"/>
          <w:sz w:val="24"/>
          <w:szCs w:val="24"/>
          <w:highlight w:val="yellow"/>
          <w:lang w:eastAsia="cs-CZ"/>
        </w:rPr>
        <w:t xml:space="preserve">( doplní </w:t>
      </w:r>
      <w:proofErr w:type="gramStart"/>
      <w:r w:rsidR="003726C7" w:rsidRPr="003726C7">
        <w:rPr>
          <w:rFonts w:ascii="Times New Roman" w:eastAsia="Times New Roman" w:hAnsi="Times New Roman" w:cs="Times New Roman"/>
          <w:sz w:val="24"/>
          <w:szCs w:val="24"/>
          <w:highlight w:val="yellow"/>
          <w:lang w:eastAsia="cs-CZ"/>
        </w:rPr>
        <w:t>uchazeč )</w:t>
      </w:r>
      <w:proofErr w:type="gramEnd"/>
    </w:p>
    <w:p w14:paraId="3326C762" w14:textId="33E22ABA" w:rsidR="00B63076" w:rsidRPr="00B63076" w:rsidRDefault="00B63076" w:rsidP="00B63076">
      <w:pPr>
        <w:spacing w:after="0" w:line="240" w:lineRule="auto"/>
        <w:ind w:left="1068"/>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E-mail: </w:t>
      </w:r>
      <w:r w:rsidR="003726C7" w:rsidRPr="003726C7">
        <w:rPr>
          <w:rFonts w:ascii="Times New Roman" w:eastAsia="Times New Roman" w:hAnsi="Times New Roman" w:cs="Times New Roman"/>
          <w:sz w:val="24"/>
          <w:szCs w:val="24"/>
          <w:highlight w:val="yellow"/>
          <w:lang w:eastAsia="cs-CZ"/>
        </w:rPr>
        <w:t xml:space="preserve">( doplní </w:t>
      </w:r>
      <w:proofErr w:type="gramStart"/>
      <w:r w:rsidR="003726C7" w:rsidRPr="003726C7">
        <w:rPr>
          <w:rFonts w:ascii="Times New Roman" w:eastAsia="Times New Roman" w:hAnsi="Times New Roman" w:cs="Times New Roman"/>
          <w:sz w:val="24"/>
          <w:szCs w:val="24"/>
          <w:highlight w:val="yellow"/>
          <w:lang w:eastAsia="cs-CZ"/>
        </w:rPr>
        <w:t>uchazeč )</w:t>
      </w:r>
      <w:proofErr w:type="gramEnd"/>
    </w:p>
    <w:p w14:paraId="3326C763" w14:textId="77777777" w:rsidR="00B63076" w:rsidRPr="00B63076" w:rsidRDefault="00B63076" w:rsidP="00B63076">
      <w:pPr>
        <w:numPr>
          <w:ilvl w:val="0"/>
          <w:numId w:val="1"/>
        </w:numPr>
        <w:spacing w:before="60"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Smlouva se vypracovává ve 2 vyhotoveních s platností originálu, z nichž po jednom obdrží každá ze smluvních stran.</w:t>
      </w:r>
    </w:p>
    <w:p w14:paraId="3326C764" w14:textId="77777777" w:rsidR="00B63076" w:rsidRDefault="00B63076" w:rsidP="00B63076">
      <w:pPr>
        <w:numPr>
          <w:ilvl w:val="0"/>
          <w:numId w:val="1"/>
        </w:numPr>
        <w:spacing w:before="60"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Smluvní strany si smlouvu přečetly, s jejím obsahem souhlasí, což stvrzují svým vlastnoručním podpisem.</w:t>
      </w:r>
    </w:p>
    <w:p w14:paraId="3BAFC3BA" w14:textId="77777777" w:rsidR="00BA0BE9" w:rsidRDefault="00BA0BE9" w:rsidP="00BA0BE9">
      <w:pPr>
        <w:numPr>
          <w:ilvl w:val="0"/>
          <w:numId w:val="1"/>
        </w:numPr>
        <w:spacing w:before="60" w:after="0" w:line="240" w:lineRule="auto"/>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Přílohy smlouvy:</w:t>
      </w:r>
    </w:p>
    <w:p w14:paraId="260A1A4A" w14:textId="77777777" w:rsidR="001572A2" w:rsidRPr="00B63076" w:rsidRDefault="001572A2" w:rsidP="001572A2">
      <w:pPr>
        <w:spacing w:before="60" w:after="0" w:line="240" w:lineRule="auto"/>
        <w:ind w:left="340"/>
        <w:jc w:val="both"/>
        <w:rPr>
          <w:rFonts w:ascii="Times New Roman" w:eastAsia="Times New Roman" w:hAnsi="Times New Roman" w:cs="Times New Roman"/>
          <w:color w:val="000000"/>
          <w:sz w:val="24"/>
          <w:szCs w:val="24"/>
          <w:lang w:eastAsia="cs-CZ"/>
        </w:rPr>
      </w:pPr>
    </w:p>
    <w:p w14:paraId="60F48C5D" w14:textId="77777777" w:rsidR="00BA0BE9" w:rsidRPr="00B63076" w:rsidRDefault="00BA0BE9" w:rsidP="00BA0BE9">
      <w:pPr>
        <w:spacing w:before="60" w:after="0" w:line="240" w:lineRule="auto"/>
        <w:ind w:left="340"/>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Příloha č. 1 - Cenová nabídka</w:t>
      </w:r>
    </w:p>
    <w:p w14:paraId="20B9A4CD" w14:textId="77777777" w:rsidR="00BA0BE9" w:rsidRPr="00B63076" w:rsidRDefault="00BA0BE9" w:rsidP="00BA0BE9">
      <w:pPr>
        <w:spacing w:before="60" w:after="0" w:line="240" w:lineRule="auto"/>
        <w:ind w:left="340"/>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Příloha č. 2 - Technická specifikace předmětu smlouvy</w:t>
      </w:r>
    </w:p>
    <w:p w14:paraId="0CF41E39" w14:textId="2F31D6CC" w:rsidR="00BA0BE9" w:rsidRDefault="00BA0BE9" w:rsidP="001572A2">
      <w:pPr>
        <w:spacing w:before="60" w:after="0" w:line="240" w:lineRule="auto"/>
        <w:ind w:left="340"/>
        <w:jc w:val="both"/>
        <w:rPr>
          <w:rFonts w:ascii="Times New Roman" w:eastAsia="Times New Roman" w:hAnsi="Times New Roman" w:cs="Times New Roman"/>
          <w:color w:val="000000"/>
          <w:sz w:val="24"/>
          <w:szCs w:val="24"/>
          <w:lang w:eastAsia="cs-CZ"/>
        </w:rPr>
      </w:pPr>
      <w:r w:rsidRPr="00B63076">
        <w:rPr>
          <w:rFonts w:ascii="Times New Roman" w:eastAsia="Times New Roman" w:hAnsi="Times New Roman" w:cs="Times New Roman"/>
          <w:color w:val="000000"/>
          <w:sz w:val="24"/>
          <w:szCs w:val="24"/>
          <w:lang w:eastAsia="cs-CZ"/>
        </w:rPr>
        <w:t xml:space="preserve">Příloha č. </w:t>
      </w:r>
      <w:r>
        <w:rPr>
          <w:rFonts w:ascii="Times New Roman" w:eastAsia="Times New Roman" w:hAnsi="Times New Roman" w:cs="Times New Roman"/>
          <w:color w:val="000000"/>
          <w:sz w:val="24"/>
          <w:szCs w:val="24"/>
          <w:lang w:eastAsia="cs-CZ"/>
        </w:rPr>
        <w:t>3</w:t>
      </w:r>
      <w:r w:rsidRPr="00B63076">
        <w:rPr>
          <w:rFonts w:ascii="Times New Roman" w:eastAsia="Times New Roman" w:hAnsi="Times New Roman" w:cs="Times New Roman"/>
          <w:color w:val="000000"/>
          <w:sz w:val="24"/>
          <w:szCs w:val="24"/>
          <w:lang w:eastAsia="cs-CZ"/>
        </w:rPr>
        <w:t xml:space="preserve"> - </w:t>
      </w:r>
      <w:r w:rsidR="001572A2" w:rsidRPr="001572A2">
        <w:rPr>
          <w:rFonts w:ascii="Times New Roman" w:eastAsia="Times New Roman" w:hAnsi="Times New Roman" w:cs="Times New Roman"/>
          <w:color w:val="000000"/>
          <w:sz w:val="24"/>
          <w:szCs w:val="24"/>
          <w:lang w:eastAsia="cs-CZ"/>
        </w:rPr>
        <w:t>Potvrzení prodávajícího</w:t>
      </w:r>
      <w:r w:rsidR="001572A2">
        <w:rPr>
          <w:rFonts w:ascii="Times New Roman" w:eastAsia="Times New Roman" w:hAnsi="Times New Roman" w:cs="Times New Roman"/>
          <w:color w:val="000000"/>
          <w:sz w:val="24"/>
          <w:szCs w:val="24"/>
          <w:lang w:eastAsia="cs-CZ"/>
        </w:rPr>
        <w:t xml:space="preserve"> </w:t>
      </w:r>
      <w:r w:rsidR="001572A2" w:rsidRPr="001572A2">
        <w:rPr>
          <w:rFonts w:ascii="Times New Roman" w:eastAsia="Times New Roman" w:hAnsi="Times New Roman" w:cs="Times New Roman"/>
          <w:color w:val="000000"/>
          <w:sz w:val="24"/>
          <w:szCs w:val="24"/>
          <w:lang w:eastAsia="cs-CZ"/>
        </w:rPr>
        <w:t>o určení HW pro český trh</w:t>
      </w:r>
      <w:bookmarkStart w:id="4" w:name="_GoBack"/>
      <w:bookmarkEnd w:id="4"/>
    </w:p>
    <w:p w14:paraId="0A1F33D5" w14:textId="77777777" w:rsidR="001572A2" w:rsidRPr="00B63076" w:rsidRDefault="001572A2" w:rsidP="001572A2">
      <w:pPr>
        <w:spacing w:before="60" w:after="0" w:line="240" w:lineRule="auto"/>
        <w:jc w:val="both"/>
        <w:rPr>
          <w:rFonts w:ascii="Times New Roman" w:eastAsia="Times New Roman" w:hAnsi="Times New Roman" w:cs="Times New Roman"/>
          <w:color w:val="000000"/>
          <w:sz w:val="24"/>
          <w:szCs w:val="24"/>
          <w:lang w:eastAsia="cs-CZ"/>
        </w:rPr>
      </w:pPr>
    </w:p>
    <w:p w14:paraId="17589098" w14:textId="77777777" w:rsidR="00BA0BE9" w:rsidRDefault="00BA0BE9" w:rsidP="00BA0BE9">
      <w:pPr>
        <w:spacing w:before="60" w:after="0" w:line="240" w:lineRule="auto"/>
        <w:ind w:left="340"/>
        <w:jc w:val="both"/>
        <w:rPr>
          <w:rFonts w:ascii="Times New Roman" w:eastAsia="Times New Roman" w:hAnsi="Times New Roman" w:cs="Times New Roman"/>
          <w:color w:val="000000"/>
          <w:sz w:val="24"/>
          <w:szCs w:val="24"/>
          <w:lang w:eastAsia="cs-CZ"/>
        </w:rPr>
      </w:pPr>
    </w:p>
    <w:p w14:paraId="3326C76E" w14:textId="77777777" w:rsidR="00FC73AE" w:rsidRDefault="00FC73AE" w:rsidP="00B63076">
      <w:pPr>
        <w:spacing w:after="0" w:line="240" w:lineRule="auto"/>
        <w:jc w:val="both"/>
        <w:rPr>
          <w:rFonts w:ascii="Times New Roman" w:eastAsia="Times New Roman" w:hAnsi="Times New Roman" w:cs="Times New Roman"/>
          <w:color w:val="000000"/>
          <w:sz w:val="24"/>
          <w:szCs w:val="24"/>
          <w:lang w:eastAsia="cs-CZ"/>
        </w:rPr>
      </w:pPr>
    </w:p>
    <w:p w14:paraId="73205269" w14:textId="77777777" w:rsidR="00B51B8F" w:rsidRDefault="00B51B8F" w:rsidP="00B63076">
      <w:pPr>
        <w:spacing w:after="0" w:line="240" w:lineRule="auto"/>
        <w:jc w:val="both"/>
        <w:rPr>
          <w:rFonts w:ascii="Times New Roman" w:eastAsia="Times New Roman" w:hAnsi="Times New Roman" w:cs="Times New Roman"/>
          <w:sz w:val="24"/>
          <w:szCs w:val="24"/>
          <w:lang w:eastAsia="cs-CZ"/>
        </w:rPr>
      </w:pPr>
    </w:p>
    <w:p w14:paraId="6C9F5BFA" w14:textId="77777777" w:rsidR="001572A2" w:rsidRDefault="001572A2" w:rsidP="00B63076">
      <w:pPr>
        <w:spacing w:after="0" w:line="240" w:lineRule="auto"/>
        <w:jc w:val="both"/>
        <w:rPr>
          <w:rFonts w:ascii="Times New Roman" w:eastAsia="Times New Roman" w:hAnsi="Times New Roman" w:cs="Times New Roman"/>
          <w:sz w:val="24"/>
          <w:szCs w:val="24"/>
          <w:lang w:eastAsia="cs-CZ"/>
        </w:rPr>
      </w:pPr>
    </w:p>
    <w:p w14:paraId="38987085" w14:textId="77777777" w:rsidR="001572A2" w:rsidRDefault="001572A2" w:rsidP="00B63076">
      <w:pPr>
        <w:spacing w:after="0" w:line="240" w:lineRule="auto"/>
        <w:jc w:val="both"/>
        <w:rPr>
          <w:rFonts w:ascii="Times New Roman" w:eastAsia="Times New Roman" w:hAnsi="Times New Roman" w:cs="Times New Roman"/>
          <w:sz w:val="24"/>
          <w:szCs w:val="24"/>
          <w:lang w:eastAsia="cs-CZ"/>
        </w:rPr>
      </w:pPr>
    </w:p>
    <w:p w14:paraId="4B216AF8" w14:textId="77777777" w:rsidR="001572A2" w:rsidRDefault="001572A2" w:rsidP="00B63076">
      <w:pPr>
        <w:spacing w:after="0" w:line="240" w:lineRule="auto"/>
        <w:jc w:val="both"/>
        <w:rPr>
          <w:rFonts w:ascii="Times New Roman" w:eastAsia="Times New Roman" w:hAnsi="Times New Roman" w:cs="Times New Roman"/>
          <w:sz w:val="24"/>
          <w:szCs w:val="24"/>
          <w:lang w:eastAsia="cs-CZ"/>
        </w:rPr>
      </w:pPr>
    </w:p>
    <w:p w14:paraId="3326C76F" w14:textId="77777777" w:rsidR="00FC73AE" w:rsidRPr="00B63076" w:rsidRDefault="00FC73AE" w:rsidP="00B63076">
      <w:pPr>
        <w:spacing w:after="0" w:line="240" w:lineRule="auto"/>
        <w:jc w:val="both"/>
        <w:rPr>
          <w:rFonts w:ascii="Times New Roman" w:eastAsia="Times New Roman" w:hAnsi="Times New Roman" w:cs="Times New Roman"/>
          <w:sz w:val="24"/>
          <w:szCs w:val="24"/>
          <w:lang w:eastAsia="cs-CZ"/>
        </w:rPr>
      </w:pPr>
    </w:p>
    <w:p w14:paraId="3326C770" w14:textId="1FD2055D" w:rsidR="00FC73AE" w:rsidRPr="00B63076" w:rsidRDefault="00FC73AE" w:rsidP="00FC73AE">
      <w:pPr>
        <w:spacing w:after="0" w:line="240" w:lineRule="auto"/>
        <w:jc w:val="both"/>
        <w:rPr>
          <w:rFonts w:ascii="Times New Roman" w:eastAsia="Times New Roman" w:hAnsi="Times New Roman" w:cs="Times New Roman"/>
          <w:sz w:val="24"/>
          <w:szCs w:val="24"/>
          <w:lang w:eastAsia="cs-CZ"/>
        </w:rPr>
      </w:pPr>
      <w:bookmarkStart w:id="5" w:name="OLE_LINK5"/>
      <w:r w:rsidRPr="00B63076">
        <w:rPr>
          <w:rFonts w:ascii="Times New Roman" w:eastAsia="Times New Roman" w:hAnsi="Times New Roman" w:cs="Times New Roman"/>
          <w:sz w:val="24"/>
          <w:szCs w:val="24"/>
          <w:lang w:eastAsia="cs-CZ"/>
        </w:rPr>
        <w:t>V Liberci, dne</w:t>
      </w:r>
      <w:r>
        <w:rPr>
          <w:rFonts w:ascii="Times New Roman" w:eastAsia="Times New Roman" w:hAnsi="Times New Roman" w:cs="Times New Roman"/>
          <w:sz w:val="24"/>
          <w:szCs w:val="24"/>
          <w:lang w:eastAsia="cs-CZ"/>
        </w:rPr>
        <w:t xml:space="preserve">: </w:t>
      </w:r>
      <w:r w:rsidR="003726C7">
        <w:rPr>
          <w:rFonts w:ascii="Times New Roman" w:eastAsia="Times New Roman" w:hAnsi="Times New Roman" w:cs="Times New Roman"/>
          <w:sz w:val="24"/>
          <w:szCs w:val="24"/>
          <w:lang w:eastAsia="cs-CZ"/>
        </w:rPr>
        <w:tab/>
      </w:r>
      <w:r w:rsidR="003726C7">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 xml:space="preserve">              </w:t>
      </w:r>
      <w:r w:rsidR="00EC158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w:t>
      </w:r>
      <w:r w:rsidR="00EC1584" w:rsidRPr="005A68D0">
        <w:rPr>
          <w:rFonts w:ascii="Times New Roman" w:eastAsia="Times New Roman" w:hAnsi="Times New Roman" w:cs="Times New Roman"/>
          <w:b/>
          <w:bCs/>
          <w:sz w:val="24"/>
          <w:szCs w:val="24"/>
          <w:highlight w:val="yellow"/>
          <w:lang w:eastAsia="cs-CZ"/>
        </w:rPr>
        <w:t>(doplní uchazeč)</w:t>
      </w:r>
      <w:r>
        <w:rPr>
          <w:rFonts w:ascii="Times New Roman" w:eastAsia="Times New Roman" w:hAnsi="Times New Roman" w:cs="Times New Roman"/>
          <w:sz w:val="24"/>
          <w:szCs w:val="24"/>
          <w:lang w:eastAsia="cs-CZ"/>
        </w:rPr>
        <w:t>, dne:</w:t>
      </w:r>
      <w:r w:rsidR="00EC1584" w:rsidRPr="00EC1584">
        <w:rPr>
          <w:rFonts w:ascii="Times New Roman" w:eastAsia="Times New Roman" w:hAnsi="Times New Roman" w:cs="Times New Roman"/>
          <w:b/>
          <w:bCs/>
          <w:sz w:val="24"/>
          <w:szCs w:val="24"/>
          <w:highlight w:val="yellow"/>
          <w:lang w:eastAsia="cs-CZ"/>
        </w:rPr>
        <w:t xml:space="preserve"> </w:t>
      </w:r>
      <w:r w:rsidR="00EC1584" w:rsidRPr="005A68D0">
        <w:rPr>
          <w:rFonts w:ascii="Times New Roman" w:eastAsia="Times New Roman" w:hAnsi="Times New Roman" w:cs="Times New Roman"/>
          <w:b/>
          <w:bCs/>
          <w:sz w:val="24"/>
          <w:szCs w:val="24"/>
          <w:highlight w:val="yellow"/>
          <w:lang w:eastAsia="cs-CZ"/>
        </w:rPr>
        <w:t>(doplní uchazeč)</w:t>
      </w:r>
    </w:p>
    <w:p w14:paraId="3326C771" w14:textId="77777777" w:rsidR="007A0A3D" w:rsidRPr="00B63076" w:rsidRDefault="007A0A3D" w:rsidP="007A0A3D">
      <w:pPr>
        <w:spacing w:after="0" w:line="240" w:lineRule="auto"/>
        <w:jc w:val="both"/>
        <w:rPr>
          <w:rFonts w:ascii="Times New Roman" w:eastAsia="Times New Roman" w:hAnsi="Times New Roman" w:cs="Times New Roman"/>
          <w:sz w:val="24"/>
          <w:szCs w:val="24"/>
          <w:lang w:eastAsia="cs-CZ"/>
        </w:rPr>
      </w:pPr>
    </w:p>
    <w:p w14:paraId="3326C772" w14:textId="77777777" w:rsidR="007A0A3D" w:rsidRPr="00B63076" w:rsidRDefault="007A0A3D" w:rsidP="007A0A3D">
      <w:pPr>
        <w:spacing w:after="0" w:line="240" w:lineRule="auto"/>
        <w:jc w:val="both"/>
        <w:rPr>
          <w:rFonts w:ascii="Times New Roman" w:eastAsia="Times New Roman" w:hAnsi="Times New Roman" w:cs="Times New Roman"/>
          <w:bCs/>
          <w:sz w:val="24"/>
          <w:szCs w:val="24"/>
          <w:lang w:eastAsia="cs-CZ"/>
        </w:rPr>
      </w:pPr>
    </w:p>
    <w:p w14:paraId="3326C773" w14:textId="77777777" w:rsidR="007A0A3D" w:rsidRPr="00B63076" w:rsidRDefault="007A0A3D" w:rsidP="007A0A3D">
      <w:pPr>
        <w:spacing w:after="0" w:line="240" w:lineRule="auto"/>
        <w:jc w:val="both"/>
        <w:rPr>
          <w:rFonts w:ascii="Times New Roman" w:eastAsia="Times New Roman" w:hAnsi="Times New Roman" w:cs="Times New Roman"/>
          <w:bCs/>
          <w:sz w:val="24"/>
          <w:szCs w:val="24"/>
          <w:lang w:eastAsia="cs-CZ"/>
        </w:rPr>
      </w:pPr>
    </w:p>
    <w:p w14:paraId="3326C774" w14:textId="77777777" w:rsidR="007A0A3D" w:rsidRPr="00B63076" w:rsidRDefault="007A0A3D" w:rsidP="007A0A3D">
      <w:pPr>
        <w:spacing w:after="0" w:line="240" w:lineRule="auto"/>
        <w:jc w:val="both"/>
        <w:rPr>
          <w:rFonts w:ascii="Times New Roman" w:eastAsia="Times New Roman" w:hAnsi="Times New Roman" w:cs="Times New Roman"/>
          <w:bCs/>
          <w:sz w:val="24"/>
          <w:szCs w:val="24"/>
          <w:lang w:eastAsia="cs-CZ"/>
        </w:rPr>
      </w:pPr>
    </w:p>
    <w:p w14:paraId="3326C775" w14:textId="77777777" w:rsidR="007A0A3D" w:rsidRPr="00B63076" w:rsidRDefault="007A0A3D" w:rsidP="007A0A3D">
      <w:pPr>
        <w:spacing w:after="0" w:line="240" w:lineRule="auto"/>
        <w:jc w:val="both"/>
        <w:rPr>
          <w:rFonts w:ascii="Times New Roman" w:eastAsia="Times New Roman" w:hAnsi="Times New Roman" w:cs="Times New Roman"/>
          <w:bCs/>
          <w:sz w:val="24"/>
          <w:szCs w:val="24"/>
          <w:lang w:eastAsia="cs-CZ"/>
        </w:rPr>
      </w:pPr>
      <w:r w:rsidRPr="00B63076">
        <w:rPr>
          <w:rFonts w:ascii="Times New Roman" w:eastAsia="Times New Roman" w:hAnsi="Times New Roman" w:cs="Times New Roman"/>
          <w:bCs/>
          <w:sz w:val="24"/>
          <w:szCs w:val="24"/>
          <w:lang w:eastAsia="cs-CZ"/>
        </w:rPr>
        <w:t xml:space="preserve">…………………………………..                                        </w:t>
      </w:r>
      <w:r w:rsidRPr="00B63076">
        <w:rPr>
          <w:rFonts w:ascii="Times New Roman" w:eastAsia="Times New Roman" w:hAnsi="Times New Roman" w:cs="Times New Roman"/>
          <w:bCs/>
          <w:sz w:val="24"/>
          <w:szCs w:val="24"/>
          <w:lang w:eastAsia="cs-CZ"/>
        </w:rPr>
        <w:tab/>
        <w:t>…………………………………..</w:t>
      </w:r>
    </w:p>
    <w:p w14:paraId="3326C776" w14:textId="1C1E8714" w:rsidR="007A0A3D" w:rsidRPr="00B63076" w:rsidRDefault="007A0A3D" w:rsidP="007A0A3D">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bCs/>
          <w:sz w:val="24"/>
          <w:szCs w:val="24"/>
          <w:lang w:eastAsia="cs-CZ"/>
        </w:rPr>
        <w:t>Liberecká IS, a.s.</w:t>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004A5BF1" w:rsidRPr="003726C7">
        <w:rPr>
          <w:rFonts w:ascii="Times New Roman" w:eastAsia="Times New Roman" w:hAnsi="Times New Roman" w:cs="Times New Roman"/>
          <w:sz w:val="24"/>
          <w:szCs w:val="24"/>
          <w:highlight w:val="yellow"/>
          <w:lang w:eastAsia="cs-CZ"/>
        </w:rPr>
        <w:t xml:space="preserve">( doplní </w:t>
      </w:r>
      <w:proofErr w:type="gramStart"/>
      <w:r w:rsidR="004A5BF1" w:rsidRPr="003726C7">
        <w:rPr>
          <w:rFonts w:ascii="Times New Roman" w:eastAsia="Times New Roman" w:hAnsi="Times New Roman" w:cs="Times New Roman"/>
          <w:sz w:val="24"/>
          <w:szCs w:val="24"/>
          <w:highlight w:val="yellow"/>
          <w:lang w:eastAsia="cs-CZ"/>
        </w:rPr>
        <w:t>uchazeč )</w:t>
      </w:r>
      <w:proofErr w:type="gramEnd"/>
    </w:p>
    <w:p w14:paraId="3326C777" w14:textId="5BD8B42A" w:rsidR="007A0A3D" w:rsidRPr="00B63076" w:rsidRDefault="007A0A3D" w:rsidP="007A0A3D">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Ing. Jaroslav Bureš, MBA</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p>
    <w:p w14:paraId="3326C778" w14:textId="29A83E7A" w:rsidR="007A0A3D" w:rsidRPr="00B63076" w:rsidRDefault="004F362C" w:rsidP="007A0A3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Statutární </w:t>
      </w:r>
      <w:r w:rsidR="007A0A3D" w:rsidRPr="00B63076">
        <w:rPr>
          <w:rFonts w:ascii="Times New Roman" w:eastAsia="Times New Roman" w:hAnsi="Times New Roman" w:cs="Times New Roman"/>
          <w:sz w:val="24"/>
          <w:szCs w:val="24"/>
          <w:lang w:eastAsia="cs-CZ"/>
        </w:rPr>
        <w:t>ředitel společnosti</w:t>
      </w:r>
      <w:r w:rsidR="007A0A3D" w:rsidRPr="00B63076">
        <w:rPr>
          <w:rFonts w:ascii="Times New Roman" w:eastAsia="Times New Roman" w:hAnsi="Times New Roman" w:cs="Times New Roman"/>
          <w:sz w:val="24"/>
          <w:szCs w:val="24"/>
          <w:lang w:eastAsia="cs-CZ"/>
        </w:rPr>
        <w:tab/>
      </w:r>
      <w:r w:rsidR="007A0A3D" w:rsidRPr="00B63076">
        <w:rPr>
          <w:rFonts w:ascii="Times New Roman" w:eastAsia="Times New Roman" w:hAnsi="Times New Roman" w:cs="Times New Roman"/>
          <w:sz w:val="24"/>
          <w:szCs w:val="24"/>
          <w:lang w:eastAsia="cs-CZ"/>
        </w:rPr>
        <w:tab/>
      </w:r>
      <w:r w:rsidR="007A0A3D" w:rsidRPr="00B63076">
        <w:rPr>
          <w:rFonts w:ascii="Times New Roman" w:eastAsia="Times New Roman" w:hAnsi="Times New Roman" w:cs="Times New Roman"/>
          <w:sz w:val="24"/>
          <w:szCs w:val="24"/>
          <w:lang w:eastAsia="cs-CZ"/>
        </w:rPr>
        <w:tab/>
      </w:r>
      <w:r w:rsidR="007A0A3D" w:rsidRPr="00B63076">
        <w:rPr>
          <w:rFonts w:ascii="Times New Roman" w:eastAsia="Times New Roman" w:hAnsi="Times New Roman" w:cs="Times New Roman"/>
          <w:sz w:val="24"/>
          <w:szCs w:val="24"/>
          <w:lang w:eastAsia="cs-CZ"/>
        </w:rPr>
        <w:tab/>
      </w:r>
      <w:r w:rsidR="007A0A3D" w:rsidRPr="00B63076">
        <w:rPr>
          <w:rFonts w:ascii="Times New Roman" w:eastAsia="Times New Roman" w:hAnsi="Times New Roman" w:cs="Times New Roman"/>
          <w:sz w:val="24"/>
          <w:szCs w:val="24"/>
          <w:lang w:eastAsia="cs-CZ"/>
        </w:rPr>
        <w:tab/>
      </w:r>
      <w:r w:rsidR="007A0A3D" w:rsidRPr="00B63076">
        <w:rPr>
          <w:rFonts w:ascii="Times New Roman" w:eastAsia="Times New Roman" w:hAnsi="Times New Roman" w:cs="Times New Roman"/>
          <w:sz w:val="24"/>
          <w:szCs w:val="24"/>
          <w:lang w:eastAsia="cs-CZ"/>
        </w:rPr>
        <w:tab/>
      </w:r>
    </w:p>
    <w:p w14:paraId="3326C779" w14:textId="77777777" w:rsidR="007A0A3D" w:rsidRPr="00B63076" w:rsidRDefault="007A0A3D" w:rsidP="007A0A3D">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Kupující</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t>Prodávající</w:t>
      </w:r>
    </w:p>
    <w:bookmarkEnd w:id="5"/>
    <w:p w14:paraId="55113C26" w14:textId="77777777" w:rsidR="00FC71A4" w:rsidRDefault="00B63076" w:rsidP="004A5BF1">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ab/>
      </w:r>
    </w:p>
    <w:p w14:paraId="528DAE23" w14:textId="77777777" w:rsidR="00FC71A4" w:rsidRDefault="00FC71A4" w:rsidP="004A5BF1">
      <w:pPr>
        <w:spacing w:after="0" w:line="240" w:lineRule="auto"/>
        <w:jc w:val="both"/>
        <w:rPr>
          <w:rFonts w:ascii="Times New Roman" w:eastAsia="Times New Roman" w:hAnsi="Times New Roman" w:cs="Times New Roman"/>
          <w:sz w:val="24"/>
          <w:szCs w:val="24"/>
          <w:lang w:eastAsia="cs-CZ"/>
        </w:rPr>
      </w:pPr>
    </w:p>
    <w:p w14:paraId="205E53E0" w14:textId="77777777" w:rsidR="00FC71A4" w:rsidRDefault="00FC71A4" w:rsidP="004A5BF1">
      <w:pPr>
        <w:spacing w:after="0" w:line="240" w:lineRule="auto"/>
        <w:jc w:val="both"/>
        <w:rPr>
          <w:rFonts w:ascii="Times New Roman" w:eastAsia="Times New Roman" w:hAnsi="Times New Roman" w:cs="Times New Roman"/>
          <w:sz w:val="24"/>
          <w:szCs w:val="24"/>
          <w:lang w:eastAsia="cs-CZ"/>
        </w:rPr>
      </w:pPr>
    </w:p>
    <w:p w14:paraId="29D63764"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1A17C63B"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1D1C832D"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69E12299"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7CF92BD5"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7E138BED"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4EEC058C"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4F9DAED7"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6F4945EB"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690C4413"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169C88E9" w14:textId="77777777" w:rsidR="00EC1584" w:rsidRDefault="00EC1584" w:rsidP="004A5BF1">
      <w:pPr>
        <w:spacing w:after="0" w:line="240" w:lineRule="auto"/>
        <w:jc w:val="both"/>
        <w:rPr>
          <w:rFonts w:ascii="Times New Roman" w:eastAsia="Times New Roman" w:hAnsi="Times New Roman" w:cs="Times New Roman"/>
          <w:sz w:val="24"/>
          <w:szCs w:val="24"/>
          <w:lang w:eastAsia="cs-CZ"/>
        </w:rPr>
      </w:pPr>
    </w:p>
    <w:p w14:paraId="37E6B553" w14:textId="77777777" w:rsidR="00EC1584" w:rsidRPr="004A5BF1" w:rsidRDefault="00EC1584" w:rsidP="00EC1584">
      <w:pPr>
        <w:spacing w:after="0" w:line="240" w:lineRule="auto"/>
        <w:jc w:val="both"/>
        <w:rPr>
          <w:rFonts w:ascii="Times New Roman" w:eastAsia="Times New Roman" w:hAnsi="Times New Roman" w:cs="Times New Roman"/>
          <w:b/>
          <w:sz w:val="24"/>
          <w:szCs w:val="24"/>
          <w:lang w:eastAsia="cs-CZ"/>
        </w:rPr>
      </w:pPr>
      <w:r w:rsidRPr="004A5BF1">
        <w:rPr>
          <w:rFonts w:ascii="Times New Roman" w:eastAsia="Times New Roman" w:hAnsi="Times New Roman" w:cs="Times New Roman"/>
          <w:b/>
          <w:sz w:val="24"/>
          <w:szCs w:val="24"/>
          <w:lang w:eastAsia="cs-CZ"/>
        </w:rPr>
        <w:lastRenderedPageBreak/>
        <w:t>Příloha kupní smlouvy č. 1</w:t>
      </w:r>
      <w:r>
        <w:rPr>
          <w:rFonts w:ascii="Times New Roman" w:eastAsia="Times New Roman" w:hAnsi="Times New Roman" w:cs="Times New Roman"/>
          <w:b/>
          <w:sz w:val="24"/>
          <w:szCs w:val="24"/>
          <w:lang w:eastAsia="cs-CZ"/>
        </w:rPr>
        <w:t xml:space="preserve"> – Cenová nabídka</w:t>
      </w:r>
    </w:p>
    <w:p w14:paraId="28C7024D" w14:textId="77777777" w:rsidR="00EC1584" w:rsidRPr="003D1B6E" w:rsidRDefault="00EC1584" w:rsidP="00EC1584">
      <w:pPr>
        <w:spacing w:after="0" w:line="240" w:lineRule="auto"/>
        <w:jc w:val="center"/>
        <w:rPr>
          <w:rFonts w:ascii="Times New Roman" w:eastAsia="Times New Roman" w:hAnsi="Times New Roman" w:cs="Times New Roman"/>
          <w:sz w:val="24"/>
          <w:szCs w:val="24"/>
          <w:lang w:eastAsia="cs-CZ"/>
        </w:rPr>
      </w:pPr>
    </w:p>
    <w:tbl>
      <w:tblPr>
        <w:tblW w:w="7020" w:type="dxa"/>
        <w:tblCellMar>
          <w:left w:w="70" w:type="dxa"/>
          <w:right w:w="70" w:type="dxa"/>
        </w:tblCellMar>
        <w:tblLook w:val="04A0" w:firstRow="1" w:lastRow="0" w:firstColumn="1" w:lastColumn="0" w:noHBand="0" w:noVBand="1"/>
      </w:tblPr>
      <w:tblGrid>
        <w:gridCol w:w="2812"/>
        <w:gridCol w:w="1228"/>
        <w:gridCol w:w="1040"/>
        <w:gridCol w:w="80"/>
        <w:gridCol w:w="1860"/>
      </w:tblGrid>
      <w:tr w:rsidR="00935998" w:rsidRPr="00EC1584" w14:paraId="562DCB70" w14:textId="77777777" w:rsidTr="009327B8">
        <w:trPr>
          <w:trHeight w:val="750"/>
        </w:trPr>
        <w:tc>
          <w:tcPr>
            <w:tcW w:w="281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2DD1CE9" w14:textId="77777777" w:rsidR="00935998" w:rsidRPr="00EC1584" w:rsidRDefault="00935998" w:rsidP="00EC1584">
            <w:pPr>
              <w:spacing w:after="0" w:line="240" w:lineRule="auto"/>
              <w:jc w:val="center"/>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Popis položky</w:t>
            </w:r>
          </w:p>
        </w:tc>
        <w:tc>
          <w:tcPr>
            <w:tcW w:w="1228" w:type="dxa"/>
            <w:tcBorders>
              <w:top w:val="double" w:sz="6" w:space="0" w:color="auto"/>
              <w:left w:val="nil"/>
              <w:bottom w:val="double" w:sz="6" w:space="0" w:color="auto"/>
              <w:right w:val="double" w:sz="6" w:space="0" w:color="auto"/>
            </w:tcBorders>
            <w:shd w:val="clear" w:color="auto" w:fill="auto"/>
            <w:vAlign w:val="center"/>
            <w:hideMark/>
          </w:tcPr>
          <w:p w14:paraId="557907F4" w14:textId="77777777" w:rsidR="00935998" w:rsidRPr="00EC1584" w:rsidRDefault="00935998" w:rsidP="00EC1584">
            <w:pPr>
              <w:spacing w:after="0" w:line="240" w:lineRule="auto"/>
              <w:jc w:val="center"/>
              <w:rPr>
                <w:rFonts w:ascii="Tahoma" w:eastAsia="Times New Roman" w:hAnsi="Tahoma" w:cs="Tahoma"/>
                <w:color w:val="000000"/>
                <w:sz w:val="18"/>
                <w:szCs w:val="18"/>
                <w:lang w:eastAsia="cs-CZ"/>
              </w:rPr>
            </w:pPr>
            <w:r w:rsidRPr="00EC1584">
              <w:rPr>
                <w:rFonts w:ascii="Tahoma" w:eastAsia="Times New Roman" w:hAnsi="Tahoma" w:cs="Tahoma"/>
                <w:color w:val="000000"/>
                <w:sz w:val="18"/>
                <w:szCs w:val="18"/>
                <w:lang w:eastAsia="cs-CZ"/>
              </w:rPr>
              <w:t>Jednotková cena bez DPH (Kč)</w:t>
            </w:r>
          </w:p>
        </w:tc>
        <w:tc>
          <w:tcPr>
            <w:tcW w:w="1120" w:type="dxa"/>
            <w:gridSpan w:val="2"/>
            <w:tcBorders>
              <w:top w:val="double" w:sz="6" w:space="0" w:color="auto"/>
              <w:left w:val="nil"/>
              <w:bottom w:val="double" w:sz="6" w:space="0" w:color="auto"/>
              <w:right w:val="double" w:sz="6" w:space="0" w:color="auto"/>
            </w:tcBorders>
            <w:shd w:val="clear" w:color="auto" w:fill="auto"/>
            <w:vAlign w:val="center"/>
            <w:hideMark/>
          </w:tcPr>
          <w:p w14:paraId="1F330332" w14:textId="77777777" w:rsidR="00935998" w:rsidRPr="00EC1584" w:rsidRDefault="00935998" w:rsidP="00EC1584">
            <w:pPr>
              <w:spacing w:after="0" w:line="240" w:lineRule="auto"/>
              <w:jc w:val="center"/>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xml:space="preserve">Množství </w:t>
            </w:r>
            <w:r w:rsidRPr="00EC1584">
              <w:rPr>
                <w:rFonts w:ascii="Tahoma" w:eastAsia="Times New Roman" w:hAnsi="Tahoma" w:cs="Tahoma"/>
                <w:color w:val="000000"/>
                <w:sz w:val="20"/>
                <w:szCs w:val="20"/>
                <w:lang w:eastAsia="cs-CZ"/>
              </w:rPr>
              <w:br/>
              <w:t>(ks)</w:t>
            </w:r>
          </w:p>
        </w:tc>
        <w:tc>
          <w:tcPr>
            <w:tcW w:w="1860" w:type="dxa"/>
            <w:tcBorders>
              <w:top w:val="double" w:sz="6" w:space="0" w:color="auto"/>
              <w:left w:val="nil"/>
              <w:bottom w:val="double" w:sz="6" w:space="0" w:color="auto"/>
              <w:right w:val="double" w:sz="6" w:space="0" w:color="auto"/>
            </w:tcBorders>
            <w:shd w:val="clear" w:color="auto" w:fill="auto"/>
            <w:vAlign w:val="center"/>
            <w:hideMark/>
          </w:tcPr>
          <w:p w14:paraId="030E49B1" w14:textId="77777777" w:rsidR="00935998" w:rsidRPr="00EC1584" w:rsidRDefault="00935998" w:rsidP="00EC1584">
            <w:pPr>
              <w:spacing w:after="0" w:line="240" w:lineRule="auto"/>
              <w:jc w:val="center"/>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Celkem cena bez DPH (Kč)</w:t>
            </w:r>
          </w:p>
        </w:tc>
      </w:tr>
      <w:tr w:rsidR="00935998" w:rsidRPr="00EC1584" w14:paraId="26447A11" w14:textId="77777777" w:rsidTr="009327B8">
        <w:trPr>
          <w:trHeight w:val="285"/>
        </w:trPr>
        <w:tc>
          <w:tcPr>
            <w:tcW w:w="2812" w:type="dxa"/>
            <w:tcBorders>
              <w:top w:val="nil"/>
              <w:left w:val="double" w:sz="6" w:space="0" w:color="auto"/>
              <w:bottom w:val="double" w:sz="6" w:space="0" w:color="auto"/>
              <w:right w:val="double" w:sz="6" w:space="0" w:color="auto"/>
            </w:tcBorders>
            <w:shd w:val="clear" w:color="auto" w:fill="auto"/>
            <w:noWrap/>
            <w:vAlign w:val="center"/>
          </w:tcPr>
          <w:p w14:paraId="35E2741D" w14:textId="7D76C7C2" w:rsidR="00935998" w:rsidRPr="00EC1584" w:rsidRDefault="00F60A31" w:rsidP="00EC1584">
            <w:pPr>
              <w:spacing w:after="0" w:line="240" w:lineRule="auto"/>
              <w:rPr>
                <w:rFonts w:ascii="Tahoma" w:eastAsia="Times New Roman" w:hAnsi="Tahoma" w:cs="Tahoma"/>
                <w:color w:val="000000"/>
                <w:sz w:val="20"/>
                <w:szCs w:val="20"/>
                <w:lang w:eastAsia="cs-CZ"/>
              </w:rPr>
            </w:pPr>
            <w:proofErr w:type="spellStart"/>
            <w:r>
              <w:rPr>
                <w:b/>
                <w:bCs/>
              </w:rPr>
              <w:t>Switch</w:t>
            </w:r>
            <w:proofErr w:type="spellEnd"/>
            <w:r>
              <w:rPr>
                <w:b/>
                <w:bCs/>
              </w:rPr>
              <w:t xml:space="preserve"> 48</w:t>
            </w:r>
            <w:r w:rsidRPr="00275C14">
              <w:rPr>
                <w:b/>
                <w:bCs/>
              </w:rPr>
              <w:t>psfp</w:t>
            </w:r>
            <w:r>
              <w:rPr>
                <w:b/>
                <w:bCs/>
              </w:rPr>
              <w:t>+</w:t>
            </w:r>
          </w:p>
        </w:tc>
        <w:tc>
          <w:tcPr>
            <w:tcW w:w="1228" w:type="dxa"/>
            <w:tcBorders>
              <w:top w:val="nil"/>
              <w:left w:val="nil"/>
              <w:bottom w:val="double" w:sz="6" w:space="0" w:color="auto"/>
              <w:right w:val="double" w:sz="6" w:space="0" w:color="auto"/>
            </w:tcBorders>
            <w:shd w:val="clear" w:color="auto" w:fill="auto"/>
            <w:noWrap/>
            <w:vAlign w:val="center"/>
            <w:hideMark/>
          </w:tcPr>
          <w:p w14:paraId="04F5D80E" w14:textId="77777777" w:rsidR="00935998" w:rsidRPr="00EC1584" w:rsidRDefault="00935998"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c>
          <w:tcPr>
            <w:tcW w:w="1120" w:type="dxa"/>
            <w:gridSpan w:val="2"/>
            <w:tcBorders>
              <w:top w:val="nil"/>
              <w:left w:val="nil"/>
              <w:bottom w:val="double" w:sz="6" w:space="0" w:color="auto"/>
              <w:right w:val="double" w:sz="6" w:space="0" w:color="auto"/>
            </w:tcBorders>
            <w:shd w:val="clear" w:color="auto" w:fill="auto"/>
            <w:noWrap/>
            <w:vAlign w:val="center"/>
          </w:tcPr>
          <w:p w14:paraId="666E49F4" w14:textId="02E13C62" w:rsidR="00935998" w:rsidRPr="00EC1584" w:rsidRDefault="000D0158" w:rsidP="00EC1584">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w:t>
            </w:r>
          </w:p>
        </w:tc>
        <w:tc>
          <w:tcPr>
            <w:tcW w:w="1860" w:type="dxa"/>
            <w:tcBorders>
              <w:top w:val="nil"/>
              <w:left w:val="nil"/>
              <w:bottom w:val="double" w:sz="6" w:space="0" w:color="auto"/>
              <w:right w:val="double" w:sz="6" w:space="0" w:color="auto"/>
            </w:tcBorders>
            <w:shd w:val="clear" w:color="auto" w:fill="auto"/>
            <w:noWrap/>
            <w:vAlign w:val="center"/>
            <w:hideMark/>
          </w:tcPr>
          <w:p w14:paraId="301810AD" w14:textId="77777777" w:rsidR="00935998" w:rsidRPr="00EC1584" w:rsidRDefault="00935998"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r>
      <w:tr w:rsidR="000D0158" w:rsidRPr="00EC1584" w14:paraId="58274760" w14:textId="77777777" w:rsidTr="009327B8">
        <w:trPr>
          <w:trHeight w:val="285"/>
        </w:trPr>
        <w:tc>
          <w:tcPr>
            <w:tcW w:w="2812" w:type="dxa"/>
            <w:tcBorders>
              <w:top w:val="nil"/>
              <w:left w:val="double" w:sz="6" w:space="0" w:color="auto"/>
              <w:bottom w:val="double" w:sz="6" w:space="0" w:color="auto"/>
              <w:right w:val="double" w:sz="6" w:space="0" w:color="auto"/>
            </w:tcBorders>
            <w:shd w:val="clear" w:color="auto" w:fill="auto"/>
            <w:noWrap/>
            <w:vAlign w:val="center"/>
          </w:tcPr>
          <w:p w14:paraId="34C15FC6" w14:textId="21EECAEB" w:rsidR="000D0158" w:rsidRPr="00275C14" w:rsidRDefault="000D0158" w:rsidP="00EC1584">
            <w:pPr>
              <w:spacing w:after="0" w:line="240" w:lineRule="auto"/>
              <w:rPr>
                <w:b/>
                <w:bCs/>
              </w:rPr>
            </w:pPr>
            <w:r>
              <w:rPr>
                <w:b/>
                <w:bCs/>
              </w:rPr>
              <w:t xml:space="preserve">Modul SFP+ </w:t>
            </w:r>
            <w:proofErr w:type="spellStart"/>
            <w:r>
              <w:rPr>
                <w:b/>
                <w:bCs/>
              </w:rPr>
              <w:t>multimode</w:t>
            </w:r>
            <w:proofErr w:type="spellEnd"/>
          </w:p>
        </w:tc>
        <w:tc>
          <w:tcPr>
            <w:tcW w:w="1228" w:type="dxa"/>
            <w:tcBorders>
              <w:top w:val="nil"/>
              <w:left w:val="nil"/>
              <w:bottom w:val="double" w:sz="6" w:space="0" w:color="auto"/>
              <w:right w:val="double" w:sz="6" w:space="0" w:color="auto"/>
            </w:tcBorders>
            <w:shd w:val="clear" w:color="auto" w:fill="auto"/>
            <w:noWrap/>
            <w:vAlign w:val="center"/>
          </w:tcPr>
          <w:p w14:paraId="7984119B" w14:textId="77777777" w:rsidR="000D0158" w:rsidRPr="00EC1584" w:rsidRDefault="000D0158" w:rsidP="00EC1584">
            <w:pPr>
              <w:spacing w:after="0" w:line="240" w:lineRule="auto"/>
              <w:rPr>
                <w:rFonts w:ascii="Tahoma" w:eastAsia="Times New Roman" w:hAnsi="Tahoma" w:cs="Tahoma"/>
                <w:color w:val="000000"/>
                <w:sz w:val="20"/>
                <w:szCs w:val="20"/>
                <w:lang w:eastAsia="cs-CZ"/>
              </w:rPr>
            </w:pPr>
          </w:p>
        </w:tc>
        <w:tc>
          <w:tcPr>
            <w:tcW w:w="1120" w:type="dxa"/>
            <w:gridSpan w:val="2"/>
            <w:tcBorders>
              <w:top w:val="nil"/>
              <w:left w:val="nil"/>
              <w:bottom w:val="double" w:sz="6" w:space="0" w:color="auto"/>
              <w:right w:val="double" w:sz="6" w:space="0" w:color="auto"/>
            </w:tcBorders>
            <w:shd w:val="clear" w:color="auto" w:fill="auto"/>
            <w:noWrap/>
            <w:vAlign w:val="center"/>
          </w:tcPr>
          <w:p w14:paraId="5AA46FFA" w14:textId="3162B428" w:rsidR="000D0158" w:rsidRDefault="009327B8" w:rsidP="00EC1584">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w:t>
            </w:r>
          </w:p>
        </w:tc>
        <w:tc>
          <w:tcPr>
            <w:tcW w:w="1860" w:type="dxa"/>
            <w:tcBorders>
              <w:top w:val="nil"/>
              <w:left w:val="nil"/>
              <w:bottom w:val="double" w:sz="6" w:space="0" w:color="auto"/>
              <w:right w:val="double" w:sz="6" w:space="0" w:color="auto"/>
            </w:tcBorders>
            <w:shd w:val="clear" w:color="auto" w:fill="auto"/>
            <w:noWrap/>
            <w:vAlign w:val="center"/>
          </w:tcPr>
          <w:p w14:paraId="7168AFA5" w14:textId="77777777" w:rsidR="000D0158" w:rsidRPr="00EC1584" w:rsidRDefault="000D0158" w:rsidP="00EC1584">
            <w:pPr>
              <w:spacing w:after="0" w:line="240" w:lineRule="auto"/>
              <w:rPr>
                <w:rFonts w:ascii="Tahoma" w:eastAsia="Times New Roman" w:hAnsi="Tahoma" w:cs="Tahoma"/>
                <w:color w:val="000000"/>
                <w:sz w:val="20"/>
                <w:szCs w:val="20"/>
                <w:lang w:eastAsia="cs-CZ"/>
              </w:rPr>
            </w:pPr>
          </w:p>
        </w:tc>
      </w:tr>
      <w:tr w:rsidR="00935998" w:rsidRPr="00EC1584" w14:paraId="036E046F" w14:textId="77777777" w:rsidTr="009327B8">
        <w:trPr>
          <w:trHeight w:val="285"/>
        </w:trPr>
        <w:tc>
          <w:tcPr>
            <w:tcW w:w="2812" w:type="dxa"/>
            <w:tcBorders>
              <w:top w:val="nil"/>
              <w:left w:val="double" w:sz="6" w:space="0" w:color="auto"/>
              <w:bottom w:val="double" w:sz="6" w:space="0" w:color="auto"/>
              <w:right w:val="double" w:sz="6" w:space="0" w:color="auto"/>
            </w:tcBorders>
            <w:shd w:val="clear" w:color="auto" w:fill="auto"/>
            <w:noWrap/>
            <w:vAlign w:val="center"/>
          </w:tcPr>
          <w:p w14:paraId="2C0BA103" w14:textId="094DD924" w:rsidR="00935998" w:rsidRPr="00EC1584" w:rsidRDefault="00F60A31" w:rsidP="00EC1584">
            <w:pPr>
              <w:spacing w:after="0" w:line="240" w:lineRule="auto"/>
              <w:rPr>
                <w:rFonts w:ascii="Tahoma" w:eastAsia="Times New Roman" w:hAnsi="Tahoma" w:cs="Tahoma"/>
                <w:color w:val="000000"/>
                <w:sz w:val="20"/>
                <w:szCs w:val="20"/>
                <w:lang w:eastAsia="cs-CZ"/>
              </w:rPr>
            </w:pPr>
            <w:r w:rsidRPr="00275C14">
              <w:rPr>
                <w:b/>
                <w:bCs/>
              </w:rPr>
              <w:t>Modul SFP+</w:t>
            </w:r>
            <w:r w:rsidR="009327B8">
              <w:rPr>
                <w:b/>
                <w:bCs/>
              </w:rPr>
              <w:t xml:space="preserve"> </w:t>
            </w:r>
            <w:proofErr w:type="spellStart"/>
            <w:r w:rsidR="009327B8">
              <w:rPr>
                <w:b/>
                <w:bCs/>
              </w:rPr>
              <w:t>singlemode</w:t>
            </w:r>
            <w:proofErr w:type="spellEnd"/>
          </w:p>
        </w:tc>
        <w:tc>
          <w:tcPr>
            <w:tcW w:w="1228" w:type="dxa"/>
            <w:tcBorders>
              <w:top w:val="nil"/>
              <w:left w:val="nil"/>
              <w:bottom w:val="double" w:sz="6" w:space="0" w:color="auto"/>
              <w:right w:val="double" w:sz="6" w:space="0" w:color="auto"/>
            </w:tcBorders>
            <w:shd w:val="clear" w:color="auto" w:fill="auto"/>
            <w:noWrap/>
            <w:vAlign w:val="center"/>
            <w:hideMark/>
          </w:tcPr>
          <w:p w14:paraId="326DFF95" w14:textId="77777777" w:rsidR="00935998" w:rsidRPr="00EC1584" w:rsidRDefault="00935998"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c>
          <w:tcPr>
            <w:tcW w:w="1120" w:type="dxa"/>
            <w:gridSpan w:val="2"/>
            <w:tcBorders>
              <w:top w:val="nil"/>
              <w:left w:val="nil"/>
              <w:bottom w:val="double" w:sz="6" w:space="0" w:color="auto"/>
              <w:right w:val="double" w:sz="6" w:space="0" w:color="auto"/>
            </w:tcBorders>
            <w:shd w:val="clear" w:color="auto" w:fill="auto"/>
            <w:noWrap/>
            <w:vAlign w:val="center"/>
          </w:tcPr>
          <w:p w14:paraId="40F2C56E" w14:textId="17AFE300" w:rsidR="00935998" w:rsidRPr="00EC1584" w:rsidRDefault="009327B8" w:rsidP="00EC1584">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w:t>
            </w:r>
          </w:p>
        </w:tc>
        <w:tc>
          <w:tcPr>
            <w:tcW w:w="1860" w:type="dxa"/>
            <w:tcBorders>
              <w:top w:val="nil"/>
              <w:left w:val="nil"/>
              <w:bottom w:val="double" w:sz="6" w:space="0" w:color="auto"/>
              <w:right w:val="double" w:sz="6" w:space="0" w:color="auto"/>
            </w:tcBorders>
            <w:shd w:val="clear" w:color="auto" w:fill="auto"/>
            <w:noWrap/>
            <w:vAlign w:val="center"/>
            <w:hideMark/>
          </w:tcPr>
          <w:p w14:paraId="3C8CDFAF" w14:textId="77777777" w:rsidR="00935998" w:rsidRPr="00EC1584" w:rsidRDefault="00935998"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r>
      <w:tr w:rsidR="00EC1584" w:rsidRPr="00EC1584" w14:paraId="7EC115E7" w14:textId="77777777" w:rsidTr="00935998">
        <w:trPr>
          <w:trHeight w:val="480"/>
        </w:trPr>
        <w:tc>
          <w:tcPr>
            <w:tcW w:w="5080"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144ECB0" w14:textId="77777777" w:rsidR="00EC1584" w:rsidRPr="00EC1584" w:rsidRDefault="00EC1584" w:rsidP="00EC1584">
            <w:pPr>
              <w:spacing w:after="0" w:line="240" w:lineRule="auto"/>
              <w:ind w:firstLineChars="100" w:firstLine="200"/>
              <w:jc w:val="right"/>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Celková nabídková cena bez DPH:</w:t>
            </w:r>
          </w:p>
        </w:tc>
        <w:tc>
          <w:tcPr>
            <w:tcW w:w="1940" w:type="dxa"/>
            <w:gridSpan w:val="2"/>
            <w:tcBorders>
              <w:top w:val="nil"/>
              <w:left w:val="nil"/>
              <w:bottom w:val="double" w:sz="6" w:space="0" w:color="auto"/>
              <w:right w:val="double" w:sz="6" w:space="0" w:color="auto"/>
            </w:tcBorders>
            <w:shd w:val="clear" w:color="auto" w:fill="auto"/>
            <w:noWrap/>
            <w:vAlign w:val="center"/>
            <w:hideMark/>
          </w:tcPr>
          <w:p w14:paraId="0C38EBF7" w14:textId="77777777" w:rsidR="00EC1584" w:rsidRPr="00EC1584" w:rsidRDefault="00EC1584"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r>
      <w:tr w:rsidR="00EC1584" w:rsidRPr="00EC1584" w14:paraId="65CF9190" w14:textId="77777777" w:rsidTr="00935998">
        <w:trPr>
          <w:trHeight w:val="480"/>
        </w:trPr>
        <w:tc>
          <w:tcPr>
            <w:tcW w:w="5080"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0724171" w14:textId="77777777" w:rsidR="00EC1584" w:rsidRPr="00EC1584" w:rsidRDefault="00EC1584" w:rsidP="00EC1584">
            <w:pPr>
              <w:spacing w:after="0" w:line="240" w:lineRule="auto"/>
              <w:ind w:firstLineChars="100" w:firstLine="200"/>
              <w:jc w:val="right"/>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DPH:</w:t>
            </w:r>
          </w:p>
        </w:tc>
        <w:tc>
          <w:tcPr>
            <w:tcW w:w="1940" w:type="dxa"/>
            <w:gridSpan w:val="2"/>
            <w:tcBorders>
              <w:top w:val="nil"/>
              <w:left w:val="nil"/>
              <w:bottom w:val="double" w:sz="6" w:space="0" w:color="auto"/>
              <w:right w:val="double" w:sz="6" w:space="0" w:color="auto"/>
            </w:tcBorders>
            <w:shd w:val="clear" w:color="auto" w:fill="auto"/>
            <w:noWrap/>
            <w:vAlign w:val="center"/>
            <w:hideMark/>
          </w:tcPr>
          <w:p w14:paraId="4A457613" w14:textId="77777777" w:rsidR="00EC1584" w:rsidRPr="00EC1584" w:rsidRDefault="00EC1584"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r>
      <w:tr w:rsidR="00EC1584" w:rsidRPr="00EC1584" w14:paraId="5530F18A" w14:textId="77777777" w:rsidTr="00935998">
        <w:trPr>
          <w:trHeight w:val="480"/>
        </w:trPr>
        <w:tc>
          <w:tcPr>
            <w:tcW w:w="5080"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7103945" w14:textId="77777777" w:rsidR="00EC1584" w:rsidRPr="00EC1584" w:rsidRDefault="00EC1584" w:rsidP="00EC1584">
            <w:pPr>
              <w:spacing w:after="0" w:line="240" w:lineRule="auto"/>
              <w:ind w:firstLineChars="100" w:firstLine="200"/>
              <w:jc w:val="right"/>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Celková nabídková cena s DPH:</w:t>
            </w:r>
          </w:p>
        </w:tc>
        <w:tc>
          <w:tcPr>
            <w:tcW w:w="1940" w:type="dxa"/>
            <w:gridSpan w:val="2"/>
            <w:tcBorders>
              <w:top w:val="nil"/>
              <w:left w:val="nil"/>
              <w:bottom w:val="double" w:sz="6" w:space="0" w:color="auto"/>
              <w:right w:val="double" w:sz="6" w:space="0" w:color="auto"/>
            </w:tcBorders>
            <w:shd w:val="clear" w:color="auto" w:fill="auto"/>
            <w:noWrap/>
            <w:vAlign w:val="center"/>
            <w:hideMark/>
          </w:tcPr>
          <w:p w14:paraId="747204D9" w14:textId="77777777" w:rsidR="00EC1584" w:rsidRPr="00EC1584" w:rsidRDefault="00EC1584" w:rsidP="00EC1584">
            <w:pPr>
              <w:spacing w:after="0" w:line="240" w:lineRule="auto"/>
              <w:rPr>
                <w:rFonts w:ascii="Tahoma" w:eastAsia="Times New Roman" w:hAnsi="Tahoma" w:cs="Tahoma"/>
                <w:color w:val="000000"/>
                <w:sz w:val="20"/>
                <w:szCs w:val="20"/>
                <w:lang w:eastAsia="cs-CZ"/>
              </w:rPr>
            </w:pPr>
            <w:r w:rsidRPr="00EC1584">
              <w:rPr>
                <w:rFonts w:ascii="Tahoma" w:eastAsia="Times New Roman" w:hAnsi="Tahoma" w:cs="Tahoma"/>
                <w:color w:val="000000"/>
                <w:sz w:val="20"/>
                <w:szCs w:val="20"/>
                <w:lang w:eastAsia="cs-CZ"/>
              </w:rPr>
              <w:t> </w:t>
            </w:r>
          </w:p>
        </w:tc>
      </w:tr>
    </w:tbl>
    <w:p w14:paraId="6C2C9B7D" w14:textId="77777777" w:rsidR="00EC1584" w:rsidRPr="003D1B6E" w:rsidRDefault="00EC1584" w:rsidP="00EC1584">
      <w:pPr>
        <w:spacing w:after="0" w:line="240" w:lineRule="auto"/>
        <w:rPr>
          <w:rFonts w:ascii="Times New Roman" w:eastAsia="Times New Roman" w:hAnsi="Times New Roman" w:cs="Times New Roman"/>
          <w:sz w:val="24"/>
          <w:szCs w:val="24"/>
          <w:lang w:eastAsia="cs-CZ"/>
        </w:rPr>
      </w:pPr>
    </w:p>
    <w:p w14:paraId="0655FD34" w14:textId="77777777" w:rsidR="00EC1584" w:rsidRPr="003D1B6E" w:rsidRDefault="00EC1584" w:rsidP="00EC1584">
      <w:pPr>
        <w:spacing w:after="0" w:line="240" w:lineRule="auto"/>
        <w:jc w:val="center"/>
        <w:rPr>
          <w:rFonts w:ascii="Times New Roman" w:eastAsia="Times New Roman" w:hAnsi="Times New Roman" w:cs="Times New Roman"/>
          <w:sz w:val="24"/>
          <w:szCs w:val="24"/>
          <w:lang w:eastAsia="cs-CZ"/>
        </w:rPr>
      </w:pPr>
    </w:p>
    <w:p w14:paraId="2BDF71DC" w14:textId="253BB661"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V Liberci, dn</w:t>
      </w:r>
      <w:r w:rsidRPr="008D71C8">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V </w:t>
      </w:r>
      <w:r w:rsidRPr="005A68D0">
        <w:rPr>
          <w:rFonts w:ascii="Times New Roman" w:eastAsia="Times New Roman" w:hAnsi="Times New Roman" w:cs="Times New Roman"/>
          <w:b/>
          <w:bCs/>
          <w:sz w:val="24"/>
          <w:szCs w:val="24"/>
          <w:highlight w:val="yellow"/>
          <w:lang w:eastAsia="cs-CZ"/>
        </w:rPr>
        <w:t>(doplní uchazeč)</w:t>
      </w:r>
      <w:r w:rsidRPr="005A68D0">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sz w:val="24"/>
          <w:szCs w:val="24"/>
          <w:lang w:eastAsia="cs-CZ"/>
        </w:rPr>
        <w:t xml:space="preserve"> dne:</w:t>
      </w:r>
      <w:r w:rsidRPr="00EC1584">
        <w:rPr>
          <w:rFonts w:ascii="Times New Roman" w:eastAsia="Times New Roman" w:hAnsi="Times New Roman" w:cs="Times New Roman"/>
          <w:b/>
          <w:bCs/>
          <w:sz w:val="24"/>
          <w:szCs w:val="24"/>
          <w:highlight w:val="yellow"/>
          <w:lang w:eastAsia="cs-CZ"/>
        </w:rPr>
        <w:t xml:space="preserve"> </w:t>
      </w:r>
      <w:r w:rsidRPr="005A68D0">
        <w:rPr>
          <w:rFonts w:ascii="Times New Roman" w:eastAsia="Times New Roman" w:hAnsi="Times New Roman" w:cs="Times New Roman"/>
          <w:b/>
          <w:bCs/>
          <w:sz w:val="24"/>
          <w:szCs w:val="24"/>
          <w:highlight w:val="yellow"/>
          <w:lang w:eastAsia="cs-CZ"/>
        </w:rPr>
        <w:t>(doplní uchazeč)</w:t>
      </w:r>
    </w:p>
    <w:p w14:paraId="361FC0B7"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p>
    <w:p w14:paraId="7B31045E"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p>
    <w:p w14:paraId="22818CD3"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r w:rsidRPr="00B63076">
        <w:rPr>
          <w:rFonts w:ascii="Times New Roman" w:eastAsia="Times New Roman" w:hAnsi="Times New Roman" w:cs="Times New Roman"/>
          <w:bCs/>
          <w:sz w:val="24"/>
          <w:szCs w:val="24"/>
          <w:lang w:eastAsia="cs-CZ"/>
        </w:rPr>
        <w:t xml:space="preserve">…………………………………..                                    </w:t>
      </w:r>
      <w:r w:rsidRPr="00B63076">
        <w:rPr>
          <w:rFonts w:ascii="Times New Roman" w:eastAsia="Times New Roman" w:hAnsi="Times New Roman" w:cs="Times New Roman"/>
          <w:bCs/>
          <w:sz w:val="24"/>
          <w:szCs w:val="24"/>
          <w:lang w:eastAsia="cs-CZ"/>
        </w:rPr>
        <w:tab/>
        <w:t>…………………………………..</w:t>
      </w:r>
    </w:p>
    <w:p w14:paraId="5F044C19" w14:textId="09EADD97"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bCs/>
          <w:sz w:val="24"/>
          <w:szCs w:val="24"/>
          <w:lang w:eastAsia="cs-CZ"/>
        </w:rPr>
        <w:t>Liberecká IS, a.s.</w:t>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r w:rsidRPr="00B63076">
        <w:rPr>
          <w:rFonts w:ascii="Times New Roman" w:eastAsia="Times New Roman" w:hAnsi="Times New Roman" w:cs="Times New Roman"/>
          <w:bCs/>
          <w:sz w:val="24"/>
          <w:szCs w:val="24"/>
          <w:lang w:eastAsia="cs-CZ"/>
        </w:rPr>
        <w:tab/>
      </w:r>
    </w:p>
    <w:p w14:paraId="42E845EE" w14:textId="264E0E50"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Ing. Jaroslav Bureš, MBA</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5A68D0">
        <w:rPr>
          <w:rFonts w:ascii="Times New Roman" w:eastAsia="Times New Roman" w:hAnsi="Times New Roman" w:cs="Times New Roman"/>
          <w:b/>
          <w:bCs/>
          <w:sz w:val="24"/>
          <w:szCs w:val="24"/>
          <w:highlight w:val="yellow"/>
          <w:lang w:eastAsia="cs-CZ"/>
        </w:rPr>
        <w:t>(doplní uchazeč)</w:t>
      </w:r>
    </w:p>
    <w:p w14:paraId="63CF960C" w14:textId="16497FBE" w:rsidR="00EC1584" w:rsidRPr="00B63076" w:rsidRDefault="004F362C" w:rsidP="00EC158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Statutární </w:t>
      </w:r>
      <w:r w:rsidR="00EC1584" w:rsidRPr="00B63076">
        <w:rPr>
          <w:rFonts w:ascii="Times New Roman" w:eastAsia="Times New Roman" w:hAnsi="Times New Roman" w:cs="Times New Roman"/>
          <w:sz w:val="24"/>
          <w:szCs w:val="24"/>
          <w:lang w:eastAsia="cs-CZ"/>
        </w:rPr>
        <w:t>ředitel společnosti</w:t>
      </w:r>
      <w:r w:rsidR="00EC1584" w:rsidRPr="00B63076">
        <w:rPr>
          <w:rFonts w:ascii="Times New Roman" w:eastAsia="Times New Roman" w:hAnsi="Times New Roman" w:cs="Times New Roman"/>
          <w:sz w:val="24"/>
          <w:szCs w:val="24"/>
          <w:lang w:eastAsia="cs-CZ"/>
        </w:rPr>
        <w:tab/>
      </w:r>
      <w:r w:rsidR="00EC1584" w:rsidRPr="00B63076">
        <w:rPr>
          <w:rFonts w:ascii="Times New Roman" w:eastAsia="Times New Roman" w:hAnsi="Times New Roman" w:cs="Times New Roman"/>
          <w:sz w:val="24"/>
          <w:szCs w:val="24"/>
          <w:lang w:eastAsia="cs-CZ"/>
        </w:rPr>
        <w:tab/>
      </w:r>
      <w:r w:rsidR="00EC1584" w:rsidRPr="00B63076">
        <w:rPr>
          <w:rFonts w:ascii="Times New Roman" w:eastAsia="Times New Roman" w:hAnsi="Times New Roman" w:cs="Times New Roman"/>
          <w:sz w:val="24"/>
          <w:szCs w:val="24"/>
          <w:lang w:eastAsia="cs-CZ"/>
        </w:rPr>
        <w:tab/>
      </w:r>
      <w:r w:rsidR="00EC1584" w:rsidRPr="00B63076">
        <w:rPr>
          <w:rFonts w:ascii="Times New Roman" w:eastAsia="Times New Roman" w:hAnsi="Times New Roman" w:cs="Times New Roman"/>
          <w:sz w:val="24"/>
          <w:szCs w:val="24"/>
          <w:lang w:eastAsia="cs-CZ"/>
        </w:rPr>
        <w:tab/>
      </w:r>
      <w:r w:rsidR="00EC1584" w:rsidRPr="00B63076">
        <w:rPr>
          <w:rFonts w:ascii="Times New Roman" w:eastAsia="Times New Roman" w:hAnsi="Times New Roman" w:cs="Times New Roman"/>
          <w:sz w:val="24"/>
          <w:szCs w:val="24"/>
          <w:lang w:eastAsia="cs-CZ"/>
        </w:rPr>
        <w:tab/>
      </w:r>
      <w:r w:rsidR="00EC1584" w:rsidRPr="00B63076">
        <w:rPr>
          <w:rFonts w:ascii="Times New Roman" w:eastAsia="Times New Roman" w:hAnsi="Times New Roman" w:cs="Times New Roman"/>
          <w:sz w:val="24"/>
          <w:szCs w:val="24"/>
          <w:lang w:eastAsia="cs-CZ"/>
        </w:rPr>
        <w:tab/>
      </w:r>
    </w:p>
    <w:p w14:paraId="2DBC3B5A" w14:textId="77777777"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Kupující</w:t>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r>
      <w:r w:rsidRPr="00B63076">
        <w:rPr>
          <w:rFonts w:ascii="Times New Roman" w:eastAsia="Times New Roman" w:hAnsi="Times New Roman" w:cs="Times New Roman"/>
          <w:sz w:val="24"/>
          <w:szCs w:val="24"/>
          <w:lang w:eastAsia="cs-CZ"/>
        </w:rPr>
        <w:tab/>
        <w:t>Prodávající</w:t>
      </w:r>
    </w:p>
    <w:p w14:paraId="4916201C"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70DAA2CB"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0EA430AC"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BEBF1C1"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35A64697"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6EEE1A7"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5553927E"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0227C8EA"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B536404"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5930D155"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0DB9F97"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4864B68"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6F07AFAB"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14EB19A0"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1A42D530"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10F93F8C"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5079EAC" w14:textId="77777777" w:rsidR="00EC1584" w:rsidRDefault="00EC1584" w:rsidP="00EC1584">
      <w:pPr>
        <w:spacing w:after="0" w:line="240" w:lineRule="auto"/>
        <w:rPr>
          <w:rFonts w:ascii="Times New Roman" w:eastAsia="Times New Roman" w:hAnsi="Times New Roman" w:cs="Times New Roman"/>
          <w:b/>
          <w:sz w:val="24"/>
          <w:szCs w:val="24"/>
          <w:lang w:eastAsia="cs-CZ"/>
        </w:rPr>
      </w:pPr>
    </w:p>
    <w:p w14:paraId="476E8842"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38F77437"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7772CEBC"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4741BD25"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6B5EF730"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52051FD5"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62642E3A"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7E5DCB86"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6376E616"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3487E858" w14:textId="77777777" w:rsidR="00F60A31" w:rsidRDefault="00F60A31" w:rsidP="00EC1584">
      <w:pPr>
        <w:spacing w:after="0" w:line="240" w:lineRule="auto"/>
        <w:rPr>
          <w:rFonts w:ascii="Times New Roman" w:eastAsia="Times New Roman" w:hAnsi="Times New Roman" w:cs="Times New Roman"/>
          <w:b/>
          <w:sz w:val="24"/>
          <w:szCs w:val="24"/>
          <w:lang w:eastAsia="cs-CZ"/>
        </w:rPr>
      </w:pPr>
    </w:p>
    <w:p w14:paraId="293DC23D" w14:textId="285A8AB4" w:rsidR="00EC1584" w:rsidRPr="00380D8A" w:rsidRDefault="00EC1584" w:rsidP="00EC1584">
      <w:pPr>
        <w:spacing w:after="0" w:line="240" w:lineRule="auto"/>
        <w:rPr>
          <w:rFonts w:ascii="Times New Roman" w:eastAsia="Times New Roman" w:hAnsi="Times New Roman" w:cs="Times New Roman"/>
          <w:sz w:val="24"/>
          <w:szCs w:val="24"/>
          <w:lang w:eastAsia="cs-CZ"/>
        </w:rPr>
      </w:pPr>
      <w:r w:rsidRPr="00380D8A">
        <w:rPr>
          <w:rFonts w:ascii="Times New Roman" w:eastAsia="Times New Roman" w:hAnsi="Times New Roman" w:cs="Times New Roman"/>
          <w:b/>
          <w:sz w:val="24"/>
          <w:szCs w:val="24"/>
          <w:lang w:eastAsia="cs-CZ"/>
        </w:rPr>
        <w:t>Příloha kupní smlouvy č. 2</w:t>
      </w:r>
    </w:p>
    <w:p w14:paraId="41517022" w14:textId="77777777" w:rsidR="00EC1584" w:rsidRPr="00380D8A" w:rsidRDefault="00EC1584" w:rsidP="00EC1584">
      <w:pPr>
        <w:spacing w:after="0" w:line="240" w:lineRule="auto"/>
        <w:jc w:val="center"/>
        <w:rPr>
          <w:rFonts w:ascii="Times New Roman" w:eastAsia="Times New Roman" w:hAnsi="Times New Roman" w:cs="Times New Roman"/>
          <w:b/>
          <w:sz w:val="24"/>
          <w:szCs w:val="24"/>
          <w:lang w:eastAsia="cs-CZ"/>
        </w:rPr>
      </w:pPr>
    </w:p>
    <w:p w14:paraId="7A0D62C2" w14:textId="41687622" w:rsidR="00EC1584" w:rsidRPr="00275C14" w:rsidRDefault="00EC1584" w:rsidP="00EC1584">
      <w:pPr>
        <w:pStyle w:val="Odstavecseseznamem"/>
        <w:spacing w:after="0" w:line="240" w:lineRule="auto"/>
        <w:rPr>
          <w:b/>
          <w:bCs/>
        </w:rPr>
      </w:pPr>
    </w:p>
    <w:tbl>
      <w:tblPr>
        <w:tblW w:w="9781" w:type="dxa"/>
        <w:jc w:val="center"/>
        <w:tblLayout w:type="fixed"/>
        <w:tblCellMar>
          <w:left w:w="70" w:type="dxa"/>
          <w:right w:w="70" w:type="dxa"/>
        </w:tblCellMar>
        <w:tblLook w:val="04A0" w:firstRow="1" w:lastRow="0" w:firstColumn="1" w:lastColumn="0" w:noHBand="0" w:noVBand="1"/>
      </w:tblPr>
      <w:tblGrid>
        <w:gridCol w:w="9781"/>
      </w:tblGrid>
      <w:tr w:rsidR="009327B8" w:rsidRPr="009327B8" w14:paraId="3459FF09" w14:textId="77777777" w:rsidTr="007800EF">
        <w:trPr>
          <w:trHeight w:val="840"/>
          <w:jc w:val="center"/>
        </w:trPr>
        <w:tc>
          <w:tcPr>
            <w:tcW w:w="9781" w:type="dxa"/>
            <w:tcBorders>
              <w:top w:val="nil"/>
              <w:left w:val="nil"/>
              <w:bottom w:val="nil"/>
              <w:right w:val="nil"/>
            </w:tcBorders>
            <w:shd w:val="clear" w:color="auto" w:fill="auto"/>
            <w:vAlign w:val="center"/>
            <w:hideMark/>
          </w:tcPr>
          <w:p w14:paraId="5B6C33DC" w14:textId="77777777" w:rsidR="009327B8" w:rsidRPr="009327B8" w:rsidRDefault="009327B8" w:rsidP="009327B8">
            <w:pPr>
              <w:suppressAutoHyphens/>
              <w:spacing w:after="0" w:line="240" w:lineRule="auto"/>
              <w:rPr>
                <w:rFonts w:ascii="Times New Roman" w:eastAsia="Times New Roman" w:hAnsi="Times New Roman" w:cs="Times New Roman"/>
                <w:b/>
                <w:bCs/>
                <w:sz w:val="24"/>
                <w:szCs w:val="24"/>
                <w:lang w:eastAsia="ar-SA"/>
              </w:rPr>
            </w:pPr>
            <w:r w:rsidRPr="009327B8">
              <w:rPr>
                <w:rFonts w:ascii="Times New Roman" w:eastAsia="Times New Roman" w:hAnsi="Times New Roman" w:cs="Times New Roman"/>
                <w:b/>
                <w:bCs/>
                <w:sz w:val="24"/>
                <w:szCs w:val="24"/>
                <w:lang w:eastAsia="ar-SA"/>
              </w:rPr>
              <w:t xml:space="preserve">Seznam poptávaných položek </w:t>
            </w:r>
          </w:p>
          <w:p w14:paraId="610E5311" w14:textId="77777777" w:rsidR="009327B8" w:rsidRPr="009327B8" w:rsidRDefault="009327B8" w:rsidP="009327B8">
            <w:pPr>
              <w:suppressAutoHyphens/>
              <w:spacing w:after="0" w:line="240" w:lineRule="auto"/>
              <w:rPr>
                <w:rFonts w:ascii="Times New Roman" w:eastAsia="Times New Roman" w:hAnsi="Times New Roman" w:cs="Times New Roman"/>
                <w:b/>
                <w:bCs/>
                <w:sz w:val="24"/>
                <w:szCs w:val="24"/>
                <w:lang w:eastAsia="ar-SA"/>
              </w:rPr>
            </w:pPr>
          </w:p>
          <w:p w14:paraId="7D958C56" w14:textId="77777777" w:rsidR="009327B8" w:rsidRPr="009327B8" w:rsidRDefault="009327B8" w:rsidP="009327B8">
            <w:pPr>
              <w:numPr>
                <w:ilvl w:val="0"/>
                <w:numId w:val="13"/>
              </w:numPr>
              <w:suppressAutoHyphens/>
              <w:spacing w:after="0" w:line="240" w:lineRule="auto"/>
              <w:contextualSpacing/>
              <w:rPr>
                <w:rFonts w:ascii="Times New Roman" w:eastAsia="Times New Roman" w:hAnsi="Times New Roman" w:cs="Times New Roman"/>
                <w:b/>
                <w:bCs/>
                <w:sz w:val="24"/>
                <w:szCs w:val="24"/>
                <w:lang w:eastAsia="ar-SA"/>
              </w:rPr>
            </w:pPr>
            <w:proofErr w:type="spellStart"/>
            <w:r w:rsidRPr="009327B8">
              <w:rPr>
                <w:rFonts w:ascii="Times New Roman" w:eastAsia="Times New Roman" w:hAnsi="Times New Roman" w:cs="Times New Roman"/>
                <w:b/>
                <w:bCs/>
                <w:sz w:val="24"/>
                <w:szCs w:val="24"/>
                <w:lang w:eastAsia="ar-SA"/>
              </w:rPr>
              <w:t>Switch</w:t>
            </w:r>
            <w:proofErr w:type="spellEnd"/>
            <w:r w:rsidRPr="009327B8">
              <w:rPr>
                <w:rFonts w:ascii="Times New Roman" w:eastAsia="Times New Roman" w:hAnsi="Times New Roman" w:cs="Times New Roman"/>
                <w:b/>
                <w:bCs/>
                <w:sz w:val="24"/>
                <w:szCs w:val="24"/>
                <w:lang w:eastAsia="ar-SA"/>
              </w:rPr>
              <w:t xml:space="preserve"> 48psfp+ – 6 ks</w:t>
            </w:r>
          </w:p>
          <w:p w14:paraId="6D35C549" w14:textId="77777777" w:rsidR="009327B8" w:rsidRPr="009327B8" w:rsidRDefault="009327B8" w:rsidP="009327B8">
            <w:pPr>
              <w:suppressAutoHyphens/>
              <w:spacing w:after="0" w:line="240" w:lineRule="auto"/>
              <w:ind w:left="720"/>
              <w:contextualSpacing/>
              <w:rPr>
                <w:rFonts w:ascii="Times New Roman" w:eastAsia="Times New Roman" w:hAnsi="Times New Roman" w:cs="Times New Roman"/>
                <w:b/>
                <w:bCs/>
                <w:sz w:val="24"/>
                <w:szCs w:val="24"/>
                <w:lang w:eastAsia="ar-SA"/>
              </w:rPr>
            </w:pPr>
          </w:p>
          <w:p w14:paraId="42DE8013"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PODPORUJE = je součástí zařízení, zařízení tuto vlastnost splňuje</w:t>
            </w:r>
          </w:p>
          <w:p w14:paraId="6CE42ACC"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UMOŽŇUJE = zařízení lze o tuto funkcionalitu v budoucnu rozšířit</w:t>
            </w:r>
          </w:p>
          <w:p w14:paraId="084AC268" w14:textId="77777777" w:rsidR="009327B8" w:rsidRPr="009327B8" w:rsidRDefault="009327B8" w:rsidP="009327B8">
            <w:pPr>
              <w:suppressAutoHyphens/>
              <w:spacing w:after="0" w:line="240" w:lineRule="auto"/>
              <w:jc w:val="center"/>
              <w:rPr>
                <w:rFonts w:ascii="Times New Roman" w:eastAsia="Times New Roman" w:hAnsi="Times New Roman" w:cs="Times New Roman"/>
                <w:b/>
                <w:bCs/>
                <w:sz w:val="24"/>
                <w:szCs w:val="24"/>
                <w:lang w:eastAsia="ar-SA"/>
              </w:rPr>
            </w:pPr>
          </w:p>
          <w:tbl>
            <w:tblPr>
              <w:tblW w:w="950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520"/>
              <w:gridCol w:w="1984"/>
            </w:tblGrid>
            <w:tr w:rsidR="009327B8" w:rsidRPr="009327B8" w14:paraId="1F3300B4" w14:textId="77777777" w:rsidTr="007800EF">
              <w:trPr>
                <w:trHeight w:val="288"/>
              </w:trPr>
              <w:tc>
                <w:tcPr>
                  <w:tcW w:w="7520" w:type="dxa"/>
                  <w:shd w:val="clear" w:color="000000" w:fill="C0C0C0"/>
                  <w:vAlign w:val="center"/>
                  <w:hideMark/>
                </w:tcPr>
                <w:p w14:paraId="3710D1A5" w14:textId="77777777" w:rsidR="009327B8" w:rsidRPr="009327B8" w:rsidRDefault="009327B8" w:rsidP="009327B8">
                  <w:pPr>
                    <w:suppressAutoHyphens/>
                    <w:spacing w:after="0" w:line="240" w:lineRule="auto"/>
                    <w:jc w:val="center"/>
                    <w:rPr>
                      <w:rFonts w:ascii="Arial" w:eastAsia="Times New Roman" w:hAnsi="Arial" w:cs="Arial"/>
                      <w:b/>
                      <w:bCs/>
                      <w:color w:val="000000"/>
                      <w:sz w:val="16"/>
                      <w:szCs w:val="16"/>
                      <w:lang w:eastAsia="ar-SA"/>
                    </w:rPr>
                  </w:pPr>
                  <w:r w:rsidRPr="009327B8">
                    <w:rPr>
                      <w:rFonts w:ascii="Arial" w:eastAsia="Times New Roman" w:hAnsi="Arial" w:cs="Arial"/>
                      <w:b/>
                      <w:bCs/>
                      <w:color w:val="000000"/>
                      <w:sz w:val="16"/>
                      <w:szCs w:val="16"/>
                      <w:lang w:eastAsia="ar-SA"/>
                    </w:rPr>
                    <w:t>Požadavek na funkcionalitu</w:t>
                  </w:r>
                </w:p>
              </w:tc>
              <w:tc>
                <w:tcPr>
                  <w:tcW w:w="1984" w:type="dxa"/>
                  <w:shd w:val="clear" w:color="000000" w:fill="C0C0C0"/>
                  <w:vAlign w:val="center"/>
                  <w:hideMark/>
                </w:tcPr>
                <w:p w14:paraId="1B4773D2" w14:textId="77777777" w:rsidR="009327B8" w:rsidRPr="009327B8" w:rsidRDefault="009327B8" w:rsidP="009327B8">
                  <w:pPr>
                    <w:suppressAutoHyphens/>
                    <w:spacing w:after="0" w:line="240" w:lineRule="auto"/>
                    <w:jc w:val="center"/>
                    <w:rPr>
                      <w:rFonts w:ascii="Arial" w:eastAsia="Times New Roman" w:hAnsi="Arial" w:cs="Arial"/>
                      <w:b/>
                      <w:bCs/>
                      <w:color w:val="000000"/>
                      <w:sz w:val="16"/>
                      <w:szCs w:val="16"/>
                      <w:lang w:eastAsia="ar-SA"/>
                    </w:rPr>
                  </w:pPr>
                  <w:r w:rsidRPr="009327B8">
                    <w:rPr>
                      <w:rFonts w:ascii="Arial" w:eastAsia="Times New Roman" w:hAnsi="Arial" w:cs="Arial"/>
                      <w:b/>
                      <w:bCs/>
                      <w:color w:val="000000"/>
                      <w:sz w:val="16"/>
                      <w:szCs w:val="16"/>
                      <w:lang w:eastAsia="ar-SA"/>
                    </w:rPr>
                    <w:t>Minimální požadavky</w:t>
                  </w:r>
                </w:p>
              </w:tc>
            </w:tr>
            <w:tr w:rsidR="009327B8" w:rsidRPr="009327B8" w14:paraId="6CD35F25" w14:textId="77777777" w:rsidTr="007800EF">
              <w:trPr>
                <w:trHeight w:val="346"/>
              </w:trPr>
              <w:tc>
                <w:tcPr>
                  <w:tcW w:w="7520" w:type="dxa"/>
                  <w:shd w:val="clear" w:color="auto" w:fill="auto"/>
                  <w:hideMark/>
                </w:tcPr>
                <w:p w14:paraId="02AEC2D3"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Přepínač musí mít vnitřní non </w:t>
                  </w:r>
                  <w:proofErr w:type="spellStart"/>
                  <w:r w:rsidRPr="009327B8">
                    <w:rPr>
                      <w:rFonts w:ascii="Arial" w:eastAsia="Calibri" w:hAnsi="Arial" w:cs="Arial"/>
                      <w:sz w:val="16"/>
                      <w:szCs w:val="16"/>
                    </w:rPr>
                    <w:t>blocking</w:t>
                  </w:r>
                  <w:proofErr w:type="spellEnd"/>
                  <w:r w:rsidRPr="009327B8">
                    <w:rPr>
                      <w:rFonts w:ascii="Arial" w:eastAsia="Calibri" w:hAnsi="Arial" w:cs="Arial"/>
                      <w:sz w:val="16"/>
                      <w:szCs w:val="16"/>
                    </w:rPr>
                    <w:t xml:space="preserve"> architekturu (kapacita přepínací matice </w:t>
                  </w:r>
                  <w:proofErr w:type="gramStart"/>
                  <w:r w:rsidRPr="009327B8">
                    <w:rPr>
                      <w:rFonts w:ascii="Arial" w:eastAsia="Calibri" w:hAnsi="Arial" w:cs="Arial"/>
                      <w:sz w:val="16"/>
                      <w:szCs w:val="16"/>
                    </w:rPr>
                    <w:t>umožní</w:t>
                  </w:r>
                  <w:proofErr w:type="gramEnd"/>
                  <w:r w:rsidRPr="009327B8">
                    <w:rPr>
                      <w:rFonts w:ascii="Arial" w:eastAsia="Calibri" w:hAnsi="Arial" w:cs="Arial"/>
                      <w:sz w:val="16"/>
                      <w:szCs w:val="16"/>
                    </w:rPr>
                    <w:t xml:space="preserve"> plný </w:t>
                  </w:r>
                  <w:proofErr w:type="gramStart"/>
                  <w:r w:rsidRPr="009327B8">
                    <w:rPr>
                      <w:rFonts w:ascii="Arial" w:eastAsia="Calibri" w:hAnsi="Arial" w:cs="Arial"/>
                      <w:sz w:val="16"/>
                      <w:szCs w:val="16"/>
                    </w:rPr>
                    <w:t>line</w:t>
                  </w:r>
                  <w:proofErr w:type="gram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rate</w:t>
                  </w:r>
                  <w:proofErr w:type="spellEnd"/>
                  <w:r w:rsidRPr="009327B8">
                    <w:rPr>
                      <w:rFonts w:ascii="Arial" w:eastAsia="Calibri" w:hAnsi="Arial" w:cs="Arial"/>
                      <w:sz w:val="16"/>
                      <w:szCs w:val="16"/>
                    </w:rPr>
                    <w:t xml:space="preserve"> na všech portech)</w:t>
                  </w:r>
                </w:p>
              </w:tc>
              <w:tc>
                <w:tcPr>
                  <w:tcW w:w="1984" w:type="dxa"/>
                  <w:shd w:val="clear" w:color="auto" w:fill="auto"/>
                  <w:vAlign w:val="center"/>
                  <w:hideMark/>
                </w:tcPr>
                <w:p w14:paraId="0574CC6F"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0AA0751B" w14:textId="77777777" w:rsidTr="007800EF">
              <w:trPr>
                <w:trHeight w:val="288"/>
              </w:trPr>
              <w:tc>
                <w:tcPr>
                  <w:tcW w:w="7520" w:type="dxa"/>
                  <w:shd w:val="clear" w:color="auto" w:fill="auto"/>
                  <w:hideMark/>
                </w:tcPr>
                <w:p w14:paraId="03F5EE58"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Nemodulární zařízení o velikosti maximálně  1RU</w:t>
                  </w:r>
                </w:p>
              </w:tc>
              <w:tc>
                <w:tcPr>
                  <w:tcW w:w="1984" w:type="dxa"/>
                  <w:shd w:val="clear" w:color="auto" w:fill="auto"/>
                  <w:vAlign w:val="center"/>
                  <w:hideMark/>
                </w:tcPr>
                <w:p w14:paraId="0CC55D7E"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719CA0B1" w14:textId="77777777" w:rsidTr="007800EF">
              <w:trPr>
                <w:trHeight w:val="288"/>
              </w:trPr>
              <w:tc>
                <w:tcPr>
                  <w:tcW w:w="7520" w:type="dxa"/>
                  <w:shd w:val="clear" w:color="auto" w:fill="auto"/>
                  <w:hideMark/>
                </w:tcPr>
                <w:p w14:paraId="48B9477A" w14:textId="77777777" w:rsidR="009327B8" w:rsidRPr="009327B8" w:rsidRDefault="009327B8" w:rsidP="009327B8">
                  <w:pPr>
                    <w:spacing w:after="0" w:line="240" w:lineRule="auto"/>
                    <w:rPr>
                      <w:rFonts w:ascii="Arial" w:eastAsia="Calibri" w:hAnsi="Arial" w:cs="Arial"/>
                      <w:sz w:val="16"/>
                      <w:szCs w:val="16"/>
                      <w:highlight w:val="red"/>
                    </w:rPr>
                  </w:pPr>
                  <w:r w:rsidRPr="009327B8">
                    <w:rPr>
                      <w:rFonts w:ascii="Arial" w:eastAsia="Calibri" w:hAnsi="Arial" w:cs="Arial"/>
                      <w:sz w:val="16"/>
                      <w:szCs w:val="16"/>
                    </w:rPr>
                    <w:t xml:space="preserve">48 </w:t>
                  </w:r>
                  <w:proofErr w:type="spellStart"/>
                  <w:r w:rsidRPr="009327B8">
                    <w:rPr>
                      <w:rFonts w:ascii="Arial" w:eastAsia="Calibri" w:hAnsi="Arial" w:cs="Arial"/>
                      <w:sz w:val="16"/>
                      <w:szCs w:val="16"/>
                    </w:rPr>
                    <w:t>access</w:t>
                  </w:r>
                  <w:proofErr w:type="spellEnd"/>
                  <w:r w:rsidRPr="009327B8">
                    <w:rPr>
                      <w:rFonts w:ascii="Arial" w:eastAsia="Calibri" w:hAnsi="Arial" w:cs="Arial"/>
                      <w:sz w:val="16"/>
                      <w:szCs w:val="16"/>
                    </w:rPr>
                    <w:t xml:space="preserve"> portů 10/100/1000 </w:t>
                  </w:r>
                  <w:proofErr w:type="spellStart"/>
                  <w:r w:rsidRPr="009327B8">
                    <w:rPr>
                      <w:rFonts w:ascii="Arial" w:eastAsia="Calibri" w:hAnsi="Arial" w:cs="Arial"/>
                      <w:sz w:val="16"/>
                      <w:szCs w:val="16"/>
                    </w:rPr>
                    <w:t>PoE</w:t>
                  </w:r>
                  <w:proofErr w:type="spell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PoE</w:t>
                  </w:r>
                  <w:proofErr w:type="spell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Power</w:t>
                  </w:r>
                  <w:proofErr w:type="spellEnd"/>
                  <w:r w:rsidRPr="009327B8">
                    <w:rPr>
                      <w:rFonts w:ascii="Arial" w:eastAsia="Calibri" w:hAnsi="Arial" w:cs="Arial"/>
                      <w:sz w:val="16"/>
                      <w:szCs w:val="16"/>
                    </w:rPr>
                    <w:t xml:space="preserve"> 740W,   </w:t>
                  </w:r>
                  <w:proofErr w:type="spellStart"/>
                  <w:r w:rsidRPr="009327B8">
                    <w:rPr>
                      <w:rFonts w:ascii="Arial" w:eastAsia="Calibri" w:hAnsi="Arial" w:cs="Arial"/>
                      <w:sz w:val="16"/>
                      <w:szCs w:val="16"/>
                    </w:rPr>
                    <w:t>Uplink</w:t>
                  </w:r>
                  <w:proofErr w:type="spellEnd"/>
                  <w:r w:rsidRPr="009327B8">
                    <w:rPr>
                      <w:rFonts w:ascii="Arial" w:eastAsia="Calibri" w:hAnsi="Arial" w:cs="Arial"/>
                      <w:sz w:val="16"/>
                      <w:szCs w:val="16"/>
                    </w:rPr>
                    <w:t xml:space="preserve"> 2x 10GB (SFP+ slot)</w:t>
                  </w:r>
                </w:p>
              </w:tc>
              <w:tc>
                <w:tcPr>
                  <w:tcW w:w="1984" w:type="dxa"/>
                  <w:shd w:val="clear" w:color="auto" w:fill="auto"/>
                  <w:vAlign w:val="center"/>
                  <w:hideMark/>
                </w:tcPr>
                <w:p w14:paraId="06F7F5C8"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highlight w:val="red"/>
                      <w:lang w:eastAsia="ar-SA"/>
                    </w:rPr>
                  </w:pPr>
                  <w:r w:rsidRPr="009327B8">
                    <w:rPr>
                      <w:rFonts w:ascii="Arial" w:eastAsia="Times New Roman" w:hAnsi="Arial" w:cs="Arial"/>
                      <w:sz w:val="16"/>
                      <w:szCs w:val="16"/>
                      <w:lang w:eastAsia="ar-SA"/>
                    </w:rPr>
                    <w:t>PODPORUJE</w:t>
                  </w:r>
                </w:p>
              </w:tc>
            </w:tr>
            <w:tr w:rsidR="009327B8" w:rsidRPr="009327B8" w14:paraId="1D092B9C" w14:textId="77777777" w:rsidTr="007800EF">
              <w:trPr>
                <w:trHeight w:val="288"/>
              </w:trPr>
              <w:tc>
                <w:tcPr>
                  <w:tcW w:w="7520" w:type="dxa"/>
                  <w:shd w:val="clear" w:color="auto" w:fill="auto"/>
                  <w:vAlign w:val="center"/>
                  <w:hideMark/>
                </w:tcPr>
                <w:p w14:paraId="20CD987E" w14:textId="77777777" w:rsidR="009327B8" w:rsidRPr="009327B8" w:rsidRDefault="009327B8" w:rsidP="009327B8">
                  <w:pPr>
                    <w:suppressAutoHyphens/>
                    <w:spacing w:after="0" w:line="240" w:lineRule="auto"/>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 xml:space="preserve">Montáž do </w:t>
                  </w:r>
                  <w:proofErr w:type="gramStart"/>
                  <w:r w:rsidRPr="009327B8">
                    <w:rPr>
                      <w:rFonts w:ascii="Arial" w:eastAsia="Times New Roman" w:hAnsi="Arial" w:cs="Arial"/>
                      <w:color w:val="000000"/>
                      <w:sz w:val="16"/>
                      <w:szCs w:val="16"/>
                      <w:lang w:eastAsia="ar-SA"/>
                    </w:rPr>
                    <w:t>racku</w:t>
                  </w:r>
                  <w:proofErr w:type="gramEnd"/>
                </w:p>
              </w:tc>
              <w:tc>
                <w:tcPr>
                  <w:tcW w:w="1984" w:type="dxa"/>
                  <w:shd w:val="clear" w:color="auto" w:fill="auto"/>
                  <w:vAlign w:val="center"/>
                  <w:hideMark/>
                </w:tcPr>
                <w:p w14:paraId="0A5FECB9"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velikost max. 1RU</w:t>
                  </w:r>
                </w:p>
              </w:tc>
            </w:tr>
            <w:tr w:rsidR="009327B8" w:rsidRPr="009327B8" w14:paraId="4C00F6ED" w14:textId="77777777" w:rsidTr="007800EF">
              <w:trPr>
                <w:trHeight w:val="288"/>
              </w:trPr>
              <w:tc>
                <w:tcPr>
                  <w:tcW w:w="7520" w:type="dxa"/>
                  <w:shd w:val="clear" w:color="auto" w:fill="auto"/>
                  <w:hideMark/>
                </w:tcPr>
                <w:p w14:paraId="03DAAE35"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Počet zdrojů</w:t>
                  </w:r>
                </w:p>
              </w:tc>
              <w:tc>
                <w:tcPr>
                  <w:tcW w:w="1984" w:type="dxa"/>
                  <w:shd w:val="clear" w:color="auto" w:fill="auto"/>
                  <w:vAlign w:val="center"/>
                  <w:hideMark/>
                </w:tcPr>
                <w:p w14:paraId="7759D302"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1</w:t>
                  </w:r>
                </w:p>
              </w:tc>
            </w:tr>
            <w:tr w:rsidR="009327B8" w:rsidRPr="009327B8" w14:paraId="3820E140" w14:textId="77777777" w:rsidTr="007800EF">
              <w:trPr>
                <w:trHeight w:val="288"/>
              </w:trPr>
              <w:tc>
                <w:tcPr>
                  <w:tcW w:w="7520" w:type="dxa"/>
                  <w:shd w:val="clear" w:color="auto" w:fill="auto"/>
                  <w:hideMark/>
                </w:tcPr>
                <w:p w14:paraId="5C0DBE09"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Napájení</w:t>
                  </w:r>
                </w:p>
              </w:tc>
              <w:tc>
                <w:tcPr>
                  <w:tcW w:w="1984" w:type="dxa"/>
                  <w:shd w:val="clear" w:color="auto" w:fill="auto"/>
                  <w:vAlign w:val="center"/>
                  <w:hideMark/>
                </w:tcPr>
                <w:p w14:paraId="1640343E"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230V AC</w:t>
                  </w:r>
                </w:p>
              </w:tc>
            </w:tr>
            <w:tr w:rsidR="009327B8" w:rsidRPr="009327B8" w14:paraId="44668393" w14:textId="77777777" w:rsidTr="007800EF">
              <w:trPr>
                <w:trHeight w:val="288"/>
              </w:trPr>
              <w:tc>
                <w:tcPr>
                  <w:tcW w:w="7520" w:type="dxa"/>
                  <w:shd w:val="clear" w:color="auto" w:fill="auto"/>
                  <w:hideMark/>
                </w:tcPr>
                <w:p w14:paraId="606E2CF7"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Z důvodů kompatibility se stávající síťovou infrastrukturou požadujeme podporu protokol pro konfiguraci VLAN VTP</w:t>
                  </w:r>
                </w:p>
              </w:tc>
              <w:tc>
                <w:tcPr>
                  <w:tcW w:w="1984" w:type="dxa"/>
                  <w:shd w:val="clear" w:color="auto" w:fill="auto"/>
                  <w:vAlign w:val="center"/>
                  <w:hideMark/>
                </w:tcPr>
                <w:p w14:paraId="7DBFDBF7"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56666C7B" w14:textId="77777777" w:rsidTr="007800EF">
              <w:trPr>
                <w:trHeight w:val="288"/>
              </w:trPr>
              <w:tc>
                <w:tcPr>
                  <w:tcW w:w="7520" w:type="dxa"/>
                  <w:shd w:val="clear" w:color="auto" w:fill="auto"/>
                  <w:hideMark/>
                </w:tcPr>
                <w:p w14:paraId="2BD26729"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Podpora </w:t>
                  </w:r>
                  <w:proofErr w:type="spellStart"/>
                  <w:r w:rsidRPr="009327B8">
                    <w:rPr>
                      <w:rFonts w:ascii="Arial" w:eastAsia="Calibri" w:hAnsi="Arial" w:cs="Arial"/>
                      <w:sz w:val="16"/>
                      <w:szCs w:val="16"/>
                    </w:rPr>
                    <w:t>etherchannel</w:t>
                  </w:r>
                  <w:proofErr w:type="spell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PAgP,LACP</w:t>
                  </w:r>
                  <w:proofErr w:type="spellEnd"/>
                  <w:r w:rsidRPr="009327B8">
                    <w:rPr>
                      <w:rFonts w:ascii="Arial" w:eastAsia="Calibri" w:hAnsi="Arial" w:cs="Arial"/>
                      <w:sz w:val="16"/>
                      <w:szCs w:val="16"/>
                    </w:rPr>
                    <w:t>)</w:t>
                  </w:r>
                </w:p>
              </w:tc>
              <w:tc>
                <w:tcPr>
                  <w:tcW w:w="1984" w:type="dxa"/>
                  <w:shd w:val="clear" w:color="auto" w:fill="auto"/>
                  <w:vAlign w:val="center"/>
                  <w:hideMark/>
                </w:tcPr>
                <w:p w14:paraId="41CC51AF"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7C9337BB" w14:textId="77777777" w:rsidTr="007800EF">
              <w:trPr>
                <w:trHeight w:val="288"/>
              </w:trPr>
              <w:tc>
                <w:tcPr>
                  <w:tcW w:w="7520" w:type="dxa"/>
                  <w:shd w:val="clear" w:color="auto" w:fill="auto"/>
                  <w:hideMark/>
                </w:tcPr>
                <w:p w14:paraId="325C9695"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Podpora privátní VLAN, lokální </w:t>
                  </w:r>
                  <w:proofErr w:type="spellStart"/>
                  <w:r w:rsidRPr="009327B8">
                    <w:rPr>
                      <w:rFonts w:ascii="Arial" w:eastAsia="Calibri" w:hAnsi="Arial" w:cs="Arial"/>
                      <w:sz w:val="16"/>
                      <w:szCs w:val="16"/>
                    </w:rPr>
                    <w:t>arp</w:t>
                  </w:r>
                  <w:proofErr w:type="spell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proxy</w:t>
                  </w:r>
                  <w:proofErr w:type="spellEnd"/>
                  <w:r w:rsidRPr="009327B8">
                    <w:rPr>
                      <w:rFonts w:ascii="Arial" w:eastAsia="Calibri" w:hAnsi="Arial" w:cs="Arial"/>
                      <w:sz w:val="16"/>
                      <w:szCs w:val="16"/>
                    </w:rPr>
                    <w:t>.</w:t>
                  </w:r>
                </w:p>
              </w:tc>
              <w:tc>
                <w:tcPr>
                  <w:tcW w:w="1984" w:type="dxa"/>
                  <w:shd w:val="clear" w:color="auto" w:fill="auto"/>
                  <w:vAlign w:val="center"/>
                  <w:hideMark/>
                </w:tcPr>
                <w:p w14:paraId="25099B30"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2FB0E962" w14:textId="77777777" w:rsidTr="007800EF">
              <w:trPr>
                <w:trHeight w:val="288"/>
              </w:trPr>
              <w:tc>
                <w:tcPr>
                  <w:tcW w:w="7520" w:type="dxa"/>
                  <w:shd w:val="clear" w:color="auto" w:fill="auto"/>
                  <w:hideMark/>
                </w:tcPr>
                <w:p w14:paraId="36CE0316" w14:textId="77777777" w:rsidR="009327B8" w:rsidRPr="009327B8" w:rsidRDefault="009327B8" w:rsidP="009327B8">
                  <w:pPr>
                    <w:spacing w:after="0" w:line="240" w:lineRule="auto"/>
                    <w:rPr>
                      <w:rFonts w:ascii="Arial" w:eastAsia="Calibri" w:hAnsi="Arial" w:cs="Arial"/>
                      <w:sz w:val="16"/>
                      <w:szCs w:val="16"/>
                    </w:rPr>
                  </w:pPr>
                  <w:proofErr w:type="spellStart"/>
                  <w:r w:rsidRPr="009327B8">
                    <w:rPr>
                      <w:rFonts w:ascii="Arial" w:eastAsia="Calibri" w:hAnsi="Arial" w:cs="Arial"/>
                      <w:sz w:val="16"/>
                      <w:szCs w:val="16"/>
                    </w:rPr>
                    <w:t>Switch</w:t>
                  </w:r>
                  <w:proofErr w:type="spellEnd"/>
                  <w:r w:rsidRPr="009327B8">
                    <w:rPr>
                      <w:rFonts w:ascii="Arial" w:eastAsia="Calibri" w:hAnsi="Arial" w:cs="Arial"/>
                      <w:sz w:val="16"/>
                      <w:szCs w:val="16"/>
                    </w:rPr>
                    <w:t xml:space="preserve"> port </w:t>
                  </w:r>
                  <w:proofErr w:type="spellStart"/>
                  <w:r w:rsidRPr="009327B8">
                    <w:rPr>
                      <w:rFonts w:ascii="Arial" w:eastAsia="Calibri" w:hAnsi="Arial" w:cs="Arial"/>
                      <w:sz w:val="16"/>
                      <w:szCs w:val="16"/>
                    </w:rPr>
                    <w:t>analyzer</w:t>
                  </w:r>
                  <w:proofErr w:type="spellEnd"/>
                  <w:r w:rsidRPr="009327B8">
                    <w:rPr>
                      <w:rFonts w:ascii="Arial" w:eastAsia="Calibri" w:hAnsi="Arial" w:cs="Arial"/>
                      <w:sz w:val="16"/>
                      <w:szCs w:val="16"/>
                    </w:rPr>
                    <w:t xml:space="preserve"> - možnost zachytávání provozu celé VLAN nebo portu na vzdáleném přepínači.</w:t>
                  </w:r>
                </w:p>
              </w:tc>
              <w:tc>
                <w:tcPr>
                  <w:tcW w:w="1984" w:type="dxa"/>
                  <w:shd w:val="clear" w:color="auto" w:fill="auto"/>
                  <w:vAlign w:val="center"/>
                  <w:hideMark/>
                </w:tcPr>
                <w:p w14:paraId="18592A1A"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6CB65957" w14:textId="77777777" w:rsidTr="007800EF">
              <w:trPr>
                <w:trHeight w:val="288"/>
              </w:trPr>
              <w:tc>
                <w:tcPr>
                  <w:tcW w:w="7520" w:type="dxa"/>
                  <w:shd w:val="clear" w:color="auto" w:fill="auto"/>
                  <w:hideMark/>
                </w:tcPr>
                <w:p w14:paraId="30F62873"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Z důvodů kompatibility se stávající síťovou infrastrukturou požadujeme podporu CDP</w:t>
                  </w:r>
                </w:p>
              </w:tc>
              <w:tc>
                <w:tcPr>
                  <w:tcW w:w="1984" w:type="dxa"/>
                  <w:shd w:val="clear" w:color="auto" w:fill="auto"/>
                  <w:vAlign w:val="center"/>
                  <w:hideMark/>
                </w:tcPr>
                <w:p w14:paraId="6E7A8111" w14:textId="77777777" w:rsidR="009327B8" w:rsidRPr="009327B8" w:rsidRDefault="009327B8" w:rsidP="009327B8">
                  <w:pPr>
                    <w:suppressAutoHyphens/>
                    <w:spacing w:after="0" w:line="240" w:lineRule="auto"/>
                    <w:jc w:val="center"/>
                    <w:rPr>
                      <w:rFonts w:ascii="Arial" w:eastAsia="Times New Roman" w:hAnsi="Arial" w:cs="Arial"/>
                      <w:b/>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0B8250DE" w14:textId="77777777" w:rsidTr="007800EF">
              <w:trPr>
                <w:trHeight w:val="288"/>
              </w:trPr>
              <w:tc>
                <w:tcPr>
                  <w:tcW w:w="7520" w:type="dxa"/>
                  <w:shd w:val="clear" w:color="auto" w:fill="auto"/>
                  <w:hideMark/>
                </w:tcPr>
                <w:p w14:paraId="2A8E5BAA"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Z důvodů kompatibility se stávající síťovou infrastrukturou požadujeme podporu </w:t>
                  </w:r>
                  <w:proofErr w:type="spellStart"/>
                  <w:r w:rsidRPr="009327B8">
                    <w:rPr>
                      <w:rFonts w:ascii="Arial" w:eastAsia="Calibri" w:hAnsi="Arial" w:cs="Arial"/>
                      <w:sz w:val="16"/>
                      <w:szCs w:val="16"/>
                    </w:rPr>
                    <w:t>Flex</w:t>
                  </w:r>
                  <w:proofErr w:type="spellEnd"/>
                  <w:r w:rsidRPr="009327B8">
                    <w:rPr>
                      <w:rFonts w:ascii="Arial" w:eastAsia="Calibri" w:hAnsi="Arial" w:cs="Arial"/>
                      <w:sz w:val="16"/>
                      <w:szCs w:val="16"/>
                    </w:rPr>
                    <w:t xml:space="preserve"> Link technologie</w:t>
                  </w:r>
                </w:p>
              </w:tc>
              <w:tc>
                <w:tcPr>
                  <w:tcW w:w="1984" w:type="dxa"/>
                  <w:shd w:val="clear" w:color="auto" w:fill="auto"/>
                  <w:vAlign w:val="center"/>
                  <w:hideMark/>
                </w:tcPr>
                <w:p w14:paraId="325F4261"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PODPORUJE</w:t>
                  </w:r>
                </w:p>
              </w:tc>
            </w:tr>
            <w:tr w:rsidR="009327B8" w:rsidRPr="009327B8" w14:paraId="76559BF0" w14:textId="77777777" w:rsidTr="007800EF">
              <w:trPr>
                <w:trHeight w:val="288"/>
              </w:trPr>
              <w:tc>
                <w:tcPr>
                  <w:tcW w:w="7520" w:type="dxa"/>
                  <w:shd w:val="clear" w:color="auto" w:fill="auto"/>
                  <w:hideMark/>
                </w:tcPr>
                <w:p w14:paraId="21650F05"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Per port ochrana proti paketovým bouřím</w:t>
                  </w:r>
                </w:p>
              </w:tc>
              <w:tc>
                <w:tcPr>
                  <w:tcW w:w="1984" w:type="dxa"/>
                  <w:shd w:val="clear" w:color="auto" w:fill="auto"/>
                  <w:vAlign w:val="center"/>
                  <w:hideMark/>
                </w:tcPr>
                <w:p w14:paraId="3CFDF966"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245C0606" w14:textId="77777777" w:rsidTr="007800EF">
              <w:trPr>
                <w:trHeight w:val="288"/>
              </w:trPr>
              <w:tc>
                <w:tcPr>
                  <w:tcW w:w="7520" w:type="dxa"/>
                  <w:shd w:val="clear" w:color="auto" w:fill="auto"/>
                  <w:hideMark/>
                </w:tcPr>
                <w:p w14:paraId="4D4C36E1"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Zabezpečení přístupového portu - ochrana proti vynucení </w:t>
                  </w:r>
                  <w:proofErr w:type="spellStart"/>
                  <w:r w:rsidRPr="009327B8">
                    <w:rPr>
                      <w:rFonts w:ascii="Arial" w:eastAsia="Calibri" w:hAnsi="Arial" w:cs="Arial"/>
                      <w:sz w:val="16"/>
                      <w:szCs w:val="16"/>
                    </w:rPr>
                    <w:t>trunku</w:t>
                  </w:r>
                  <w:proofErr w:type="spellEnd"/>
                  <w:r w:rsidRPr="009327B8">
                    <w:rPr>
                      <w:rFonts w:ascii="Arial" w:eastAsia="Calibri" w:hAnsi="Arial" w:cs="Arial"/>
                      <w:sz w:val="16"/>
                      <w:szCs w:val="16"/>
                    </w:rPr>
                    <w:t xml:space="preserve">, ochrana proti záplavě </w:t>
                  </w:r>
                  <w:proofErr w:type="spellStart"/>
                  <w:r w:rsidRPr="009327B8">
                    <w:rPr>
                      <w:rFonts w:ascii="Arial" w:eastAsia="Calibri" w:hAnsi="Arial" w:cs="Arial"/>
                      <w:sz w:val="16"/>
                      <w:szCs w:val="16"/>
                    </w:rPr>
                    <w:t>mac</w:t>
                  </w:r>
                  <w:proofErr w:type="spellEnd"/>
                  <w:r w:rsidRPr="009327B8">
                    <w:rPr>
                      <w:rFonts w:ascii="Arial" w:eastAsia="Calibri" w:hAnsi="Arial" w:cs="Arial"/>
                      <w:sz w:val="16"/>
                      <w:szCs w:val="16"/>
                    </w:rPr>
                    <w:t xml:space="preserve"> adres.</w:t>
                  </w:r>
                </w:p>
              </w:tc>
              <w:tc>
                <w:tcPr>
                  <w:tcW w:w="1984" w:type="dxa"/>
                  <w:shd w:val="clear" w:color="auto" w:fill="auto"/>
                  <w:vAlign w:val="center"/>
                  <w:hideMark/>
                </w:tcPr>
                <w:p w14:paraId="7FE236C4"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7E7F49E1" w14:textId="77777777" w:rsidTr="007800EF">
              <w:trPr>
                <w:trHeight w:val="288"/>
              </w:trPr>
              <w:tc>
                <w:tcPr>
                  <w:tcW w:w="7520" w:type="dxa"/>
                  <w:shd w:val="clear" w:color="auto" w:fill="auto"/>
                  <w:hideMark/>
                </w:tcPr>
                <w:p w14:paraId="795FE1BA"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Ochrana proti podvržení DHCP serveru</w:t>
                  </w:r>
                </w:p>
              </w:tc>
              <w:tc>
                <w:tcPr>
                  <w:tcW w:w="1984" w:type="dxa"/>
                  <w:shd w:val="clear" w:color="auto" w:fill="auto"/>
                  <w:vAlign w:val="center"/>
                  <w:hideMark/>
                </w:tcPr>
                <w:p w14:paraId="6E639CB2"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4DBC0938" w14:textId="77777777" w:rsidTr="007800EF">
              <w:trPr>
                <w:trHeight w:val="288"/>
              </w:trPr>
              <w:tc>
                <w:tcPr>
                  <w:tcW w:w="7520" w:type="dxa"/>
                  <w:shd w:val="clear" w:color="auto" w:fill="auto"/>
                  <w:hideMark/>
                </w:tcPr>
                <w:p w14:paraId="74422842"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Ochrana proti podvržení ARP záznamů</w:t>
                  </w:r>
                </w:p>
              </w:tc>
              <w:tc>
                <w:tcPr>
                  <w:tcW w:w="1984" w:type="dxa"/>
                  <w:shd w:val="clear" w:color="auto" w:fill="auto"/>
                  <w:vAlign w:val="center"/>
                  <w:hideMark/>
                </w:tcPr>
                <w:p w14:paraId="290F5EFE"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3BEA6183" w14:textId="77777777" w:rsidTr="007800EF">
              <w:trPr>
                <w:trHeight w:val="288"/>
              </w:trPr>
              <w:tc>
                <w:tcPr>
                  <w:tcW w:w="7520" w:type="dxa"/>
                  <w:shd w:val="clear" w:color="auto" w:fill="auto"/>
                  <w:hideMark/>
                </w:tcPr>
                <w:p w14:paraId="41BA861B"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Ochrana proti podvržení zdrojové IP adresy</w:t>
                  </w:r>
                </w:p>
              </w:tc>
              <w:tc>
                <w:tcPr>
                  <w:tcW w:w="1984" w:type="dxa"/>
                  <w:shd w:val="clear" w:color="auto" w:fill="auto"/>
                  <w:vAlign w:val="center"/>
                  <w:hideMark/>
                </w:tcPr>
                <w:p w14:paraId="2BB78EB4"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4FE41CDE" w14:textId="77777777" w:rsidTr="007800EF">
              <w:trPr>
                <w:trHeight w:val="288"/>
              </w:trPr>
              <w:tc>
                <w:tcPr>
                  <w:tcW w:w="7520" w:type="dxa"/>
                  <w:shd w:val="clear" w:color="auto" w:fill="auto"/>
                  <w:hideMark/>
                </w:tcPr>
                <w:p w14:paraId="29ABBB6D"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Podpora ověřeni přepínače mechanismem 802.1X vůči </w:t>
                  </w:r>
                  <w:proofErr w:type="gramStart"/>
                  <w:r w:rsidRPr="009327B8">
                    <w:rPr>
                      <w:rFonts w:ascii="Arial" w:eastAsia="Calibri" w:hAnsi="Arial" w:cs="Arial"/>
                      <w:sz w:val="16"/>
                      <w:szCs w:val="16"/>
                    </w:rPr>
                    <w:t>RADIUS</w:t>
                  </w:r>
                  <w:proofErr w:type="gramEnd"/>
                  <w:r w:rsidRPr="009327B8">
                    <w:rPr>
                      <w:rFonts w:ascii="Arial" w:eastAsia="Calibri" w:hAnsi="Arial" w:cs="Arial"/>
                      <w:sz w:val="16"/>
                      <w:szCs w:val="16"/>
                    </w:rPr>
                    <w:t xml:space="preserve"> serveru s možnosti definice </w:t>
                  </w:r>
                  <w:proofErr w:type="spellStart"/>
                  <w:r w:rsidRPr="009327B8">
                    <w:rPr>
                      <w:rFonts w:ascii="Arial" w:eastAsia="Calibri" w:hAnsi="Arial" w:cs="Arial"/>
                      <w:sz w:val="16"/>
                      <w:szCs w:val="16"/>
                    </w:rPr>
                    <w:t>bezp</w:t>
                  </w:r>
                  <w:proofErr w:type="spellEnd"/>
                  <w:r w:rsidRPr="009327B8">
                    <w:rPr>
                      <w:rFonts w:ascii="Arial" w:eastAsia="Calibri" w:hAnsi="Arial" w:cs="Arial"/>
                      <w:sz w:val="16"/>
                      <w:szCs w:val="16"/>
                    </w:rPr>
                    <w:t>. politiky</w:t>
                  </w:r>
                </w:p>
              </w:tc>
              <w:tc>
                <w:tcPr>
                  <w:tcW w:w="1984" w:type="dxa"/>
                  <w:shd w:val="clear" w:color="auto" w:fill="auto"/>
                  <w:vAlign w:val="center"/>
                  <w:hideMark/>
                </w:tcPr>
                <w:p w14:paraId="3C422076"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2584EF2D" w14:textId="77777777" w:rsidTr="007800EF">
              <w:trPr>
                <w:trHeight w:val="288"/>
              </w:trPr>
              <w:tc>
                <w:tcPr>
                  <w:tcW w:w="7520" w:type="dxa"/>
                  <w:shd w:val="clear" w:color="auto" w:fill="auto"/>
                  <w:hideMark/>
                </w:tcPr>
                <w:p w14:paraId="7D344DDB"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Hop-by-hop šifrovaní na L2 (ochrana proti m-in-m útoku).</w:t>
                  </w:r>
                </w:p>
              </w:tc>
              <w:tc>
                <w:tcPr>
                  <w:tcW w:w="1984" w:type="dxa"/>
                  <w:shd w:val="clear" w:color="auto" w:fill="auto"/>
                  <w:vAlign w:val="center"/>
                  <w:hideMark/>
                </w:tcPr>
                <w:p w14:paraId="5A9BC943"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48B4C9CB" w14:textId="77777777" w:rsidTr="007800EF">
              <w:trPr>
                <w:trHeight w:val="288"/>
              </w:trPr>
              <w:tc>
                <w:tcPr>
                  <w:tcW w:w="7520" w:type="dxa"/>
                  <w:shd w:val="clear" w:color="auto" w:fill="auto"/>
                  <w:hideMark/>
                </w:tcPr>
                <w:p w14:paraId="77D85109"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mechanismu 802.1X pro ověření klientu s možnosti kontrolovaného přístupu pro návštěvníka.</w:t>
                  </w:r>
                </w:p>
              </w:tc>
              <w:tc>
                <w:tcPr>
                  <w:tcW w:w="1984" w:type="dxa"/>
                  <w:shd w:val="clear" w:color="auto" w:fill="auto"/>
                  <w:vAlign w:val="center"/>
                  <w:hideMark/>
                </w:tcPr>
                <w:p w14:paraId="40A9AF3F"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19F18A4D" w14:textId="77777777" w:rsidTr="007800EF">
              <w:trPr>
                <w:trHeight w:val="288"/>
              </w:trPr>
              <w:tc>
                <w:tcPr>
                  <w:tcW w:w="7520" w:type="dxa"/>
                  <w:shd w:val="clear" w:color="auto" w:fill="auto"/>
                  <w:hideMark/>
                </w:tcPr>
                <w:p w14:paraId="5AAE5CA4"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přístupových listu na přístupových portech.</w:t>
                  </w:r>
                </w:p>
              </w:tc>
              <w:tc>
                <w:tcPr>
                  <w:tcW w:w="1984" w:type="dxa"/>
                  <w:shd w:val="clear" w:color="auto" w:fill="auto"/>
                  <w:vAlign w:val="center"/>
                  <w:hideMark/>
                </w:tcPr>
                <w:p w14:paraId="6E24EEFE"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1C42FA1C" w14:textId="77777777" w:rsidTr="007800EF">
              <w:trPr>
                <w:trHeight w:val="288"/>
              </w:trPr>
              <w:tc>
                <w:tcPr>
                  <w:tcW w:w="7520" w:type="dxa"/>
                  <w:shd w:val="clear" w:color="auto" w:fill="auto"/>
                  <w:hideMark/>
                </w:tcPr>
                <w:p w14:paraId="6253618B"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ověření přístupu k přepínací na serveru RADIUS, logováni činnosti</w:t>
                  </w:r>
                </w:p>
              </w:tc>
              <w:tc>
                <w:tcPr>
                  <w:tcW w:w="1984" w:type="dxa"/>
                  <w:shd w:val="clear" w:color="auto" w:fill="auto"/>
                  <w:vAlign w:val="center"/>
                  <w:hideMark/>
                </w:tcPr>
                <w:p w14:paraId="33D20CD4"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1CFD17DA" w14:textId="77777777" w:rsidTr="007800EF">
              <w:trPr>
                <w:trHeight w:val="288"/>
              </w:trPr>
              <w:tc>
                <w:tcPr>
                  <w:tcW w:w="7520" w:type="dxa"/>
                  <w:shd w:val="clear" w:color="auto" w:fill="auto"/>
                  <w:hideMark/>
                </w:tcPr>
                <w:p w14:paraId="5081B686"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protokolu SSH, Kerberos, SNMPv3</w:t>
                  </w:r>
                </w:p>
              </w:tc>
              <w:tc>
                <w:tcPr>
                  <w:tcW w:w="1984" w:type="dxa"/>
                  <w:shd w:val="clear" w:color="auto" w:fill="auto"/>
                  <w:vAlign w:val="center"/>
                  <w:hideMark/>
                </w:tcPr>
                <w:p w14:paraId="1B440EEB"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6326F616" w14:textId="77777777" w:rsidTr="007800EF">
              <w:trPr>
                <w:trHeight w:val="288"/>
              </w:trPr>
              <w:tc>
                <w:tcPr>
                  <w:tcW w:w="7520" w:type="dxa"/>
                  <w:shd w:val="clear" w:color="auto" w:fill="auto"/>
                  <w:hideMark/>
                </w:tcPr>
                <w:p w14:paraId="3488CECD"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Podpora protokolu rapid </w:t>
                  </w:r>
                  <w:proofErr w:type="spellStart"/>
                  <w:r w:rsidRPr="009327B8">
                    <w:rPr>
                      <w:rFonts w:ascii="Arial" w:eastAsia="Calibri" w:hAnsi="Arial" w:cs="Arial"/>
                      <w:sz w:val="16"/>
                      <w:szCs w:val="16"/>
                    </w:rPr>
                    <w:t>spanning</w:t>
                  </w:r>
                  <w:proofErr w:type="spellEnd"/>
                  <w:r w:rsidRPr="009327B8">
                    <w:rPr>
                      <w:rFonts w:ascii="Arial" w:eastAsia="Calibri" w:hAnsi="Arial" w:cs="Arial"/>
                      <w:sz w:val="16"/>
                      <w:szCs w:val="16"/>
                    </w:rPr>
                    <w:t xml:space="preserve"> </w:t>
                  </w:r>
                  <w:proofErr w:type="spellStart"/>
                  <w:r w:rsidRPr="009327B8">
                    <w:rPr>
                      <w:rFonts w:ascii="Arial" w:eastAsia="Calibri" w:hAnsi="Arial" w:cs="Arial"/>
                      <w:sz w:val="16"/>
                      <w:szCs w:val="16"/>
                    </w:rPr>
                    <w:t>tree</w:t>
                  </w:r>
                  <w:proofErr w:type="spellEnd"/>
                  <w:r w:rsidRPr="009327B8">
                    <w:rPr>
                      <w:rFonts w:ascii="Arial" w:eastAsia="Calibri" w:hAnsi="Arial" w:cs="Arial"/>
                      <w:sz w:val="16"/>
                      <w:szCs w:val="16"/>
                    </w:rPr>
                    <w:t xml:space="preserve"> s možnosti jedné instance STP pro jednu VLAN.</w:t>
                  </w:r>
                </w:p>
              </w:tc>
              <w:tc>
                <w:tcPr>
                  <w:tcW w:w="1984" w:type="dxa"/>
                  <w:shd w:val="clear" w:color="auto" w:fill="auto"/>
                  <w:vAlign w:val="center"/>
                  <w:hideMark/>
                </w:tcPr>
                <w:p w14:paraId="7F7268AF"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761E46BE" w14:textId="77777777" w:rsidTr="007800EF">
              <w:trPr>
                <w:trHeight w:val="288"/>
              </w:trPr>
              <w:tc>
                <w:tcPr>
                  <w:tcW w:w="7520" w:type="dxa"/>
                  <w:shd w:val="clear" w:color="auto" w:fill="auto"/>
                  <w:hideMark/>
                </w:tcPr>
                <w:p w14:paraId="68BB9536"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Ochrana proti vzniku sítové smyčky v rámci jedné nebo různých VLAN.</w:t>
                  </w:r>
                </w:p>
              </w:tc>
              <w:tc>
                <w:tcPr>
                  <w:tcW w:w="1984" w:type="dxa"/>
                  <w:shd w:val="clear" w:color="auto" w:fill="auto"/>
                  <w:vAlign w:val="center"/>
                  <w:hideMark/>
                </w:tcPr>
                <w:p w14:paraId="7F58360B"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42815941" w14:textId="77777777" w:rsidTr="007800EF">
              <w:trPr>
                <w:trHeight w:val="288"/>
              </w:trPr>
              <w:tc>
                <w:tcPr>
                  <w:tcW w:w="7520" w:type="dxa"/>
                  <w:shd w:val="clear" w:color="auto" w:fill="auto"/>
                  <w:hideMark/>
                </w:tcPr>
                <w:p w14:paraId="028CE5E2"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Ochrana proti vynucení kořenového </w:t>
                  </w:r>
                  <w:proofErr w:type="spellStart"/>
                  <w:r w:rsidRPr="009327B8">
                    <w:rPr>
                      <w:rFonts w:ascii="Arial" w:eastAsia="Calibri" w:hAnsi="Arial" w:cs="Arial"/>
                      <w:sz w:val="16"/>
                      <w:szCs w:val="16"/>
                    </w:rPr>
                    <w:t>bridge</w:t>
                  </w:r>
                  <w:proofErr w:type="spellEnd"/>
                  <w:r w:rsidRPr="009327B8">
                    <w:rPr>
                      <w:rFonts w:ascii="Arial" w:eastAsia="Calibri" w:hAnsi="Arial" w:cs="Arial"/>
                      <w:sz w:val="16"/>
                      <w:szCs w:val="16"/>
                    </w:rPr>
                    <w:t>.</w:t>
                  </w:r>
                </w:p>
              </w:tc>
              <w:tc>
                <w:tcPr>
                  <w:tcW w:w="1984" w:type="dxa"/>
                  <w:shd w:val="clear" w:color="auto" w:fill="auto"/>
                  <w:vAlign w:val="center"/>
                  <w:hideMark/>
                </w:tcPr>
                <w:p w14:paraId="725BB024"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3330273A" w14:textId="77777777" w:rsidTr="007800EF">
              <w:trPr>
                <w:trHeight w:val="288"/>
              </w:trPr>
              <w:tc>
                <w:tcPr>
                  <w:tcW w:w="7520" w:type="dxa"/>
                  <w:shd w:val="clear" w:color="auto" w:fill="auto"/>
                  <w:hideMark/>
                </w:tcPr>
                <w:p w14:paraId="7749ED0C"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Možnost filtrovaní BPDU rámců.</w:t>
                  </w:r>
                </w:p>
              </w:tc>
              <w:tc>
                <w:tcPr>
                  <w:tcW w:w="1984" w:type="dxa"/>
                  <w:shd w:val="clear" w:color="auto" w:fill="auto"/>
                  <w:vAlign w:val="center"/>
                  <w:hideMark/>
                </w:tcPr>
                <w:p w14:paraId="6A17EEC7"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0B13C40E" w14:textId="77777777" w:rsidTr="007800EF">
              <w:trPr>
                <w:trHeight w:val="288"/>
              </w:trPr>
              <w:tc>
                <w:tcPr>
                  <w:tcW w:w="7520" w:type="dxa"/>
                  <w:shd w:val="clear" w:color="auto" w:fill="auto"/>
                  <w:hideMark/>
                </w:tcPr>
                <w:p w14:paraId="595DBB3A"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řazeni kvality služby na základě COS A DSCP značek s možností přepsaní značky.</w:t>
                  </w:r>
                </w:p>
              </w:tc>
              <w:tc>
                <w:tcPr>
                  <w:tcW w:w="1984" w:type="dxa"/>
                  <w:shd w:val="clear" w:color="auto" w:fill="auto"/>
                  <w:vAlign w:val="center"/>
                  <w:hideMark/>
                </w:tcPr>
                <w:p w14:paraId="7BE49422"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4C6F0812" w14:textId="77777777" w:rsidTr="007800EF">
              <w:trPr>
                <w:trHeight w:val="288"/>
              </w:trPr>
              <w:tc>
                <w:tcPr>
                  <w:tcW w:w="7520" w:type="dxa"/>
                  <w:shd w:val="clear" w:color="auto" w:fill="auto"/>
                  <w:hideMark/>
                </w:tcPr>
                <w:p w14:paraId="10550F8D"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prioritní fronty.</w:t>
                  </w:r>
                </w:p>
              </w:tc>
              <w:tc>
                <w:tcPr>
                  <w:tcW w:w="1984" w:type="dxa"/>
                  <w:shd w:val="clear" w:color="auto" w:fill="auto"/>
                  <w:vAlign w:val="center"/>
                  <w:hideMark/>
                </w:tcPr>
                <w:p w14:paraId="2A424C1F"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6A3B7F9A" w14:textId="77777777" w:rsidTr="007800EF">
              <w:trPr>
                <w:trHeight w:val="288"/>
              </w:trPr>
              <w:tc>
                <w:tcPr>
                  <w:tcW w:w="7520" w:type="dxa"/>
                  <w:shd w:val="clear" w:color="auto" w:fill="auto"/>
                  <w:hideMark/>
                </w:tcPr>
                <w:p w14:paraId="5A9566F7"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Ochrana proti vyčerpání systémových zdrojů přepínače.</w:t>
                  </w:r>
                </w:p>
              </w:tc>
              <w:tc>
                <w:tcPr>
                  <w:tcW w:w="1984" w:type="dxa"/>
                  <w:shd w:val="clear" w:color="auto" w:fill="auto"/>
                  <w:vAlign w:val="center"/>
                  <w:hideMark/>
                </w:tcPr>
                <w:p w14:paraId="309BF610"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169D268E" w14:textId="77777777" w:rsidTr="007800EF">
              <w:trPr>
                <w:trHeight w:val="288"/>
              </w:trPr>
              <w:tc>
                <w:tcPr>
                  <w:tcW w:w="7520" w:type="dxa"/>
                  <w:shd w:val="clear" w:color="auto" w:fill="auto"/>
                  <w:hideMark/>
                </w:tcPr>
                <w:p w14:paraId="079B3534"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IPv6</w:t>
                  </w:r>
                </w:p>
              </w:tc>
              <w:tc>
                <w:tcPr>
                  <w:tcW w:w="1984" w:type="dxa"/>
                  <w:shd w:val="clear" w:color="auto" w:fill="auto"/>
                  <w:vAlign w:val="center"/>
                  <w:hideMark/>
                </w:tcPr>
                <w:p w14:paraId="6854C1D6"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2BFF1F9E" w14:textId="77777777" w:rsidTr="007800EF">
              <w:trPr>
                <w:trHeight w:val="288"/>
              </w:trPr>
              <w:tc>
                <w:tcPr>
                  <w:tcW w:w="7520" w:type="dxa"/>
                  <w:shd w:val="clear" w:color="auto" w:fill="auto"/>
                  <w:hideMark/>
                </w:tcPr>
                <w:p w14:paraId="25DCDA13"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802.1Q</w:t>
                  </w:r>
                </w:p>
              </w:tc>
              <w:tc>
                <w:tcPr>
                  <w:tcW w:w="1984" w:type="dxa"/>
                  <w:shd w:val="clear" w:color="auto" w:fill="auto"/>
                  <w:vAlign w:val="center"/>
                  <w:hideMark/>
                </w:tcPr>
                <w:p w14:paraId="24A6BF21"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PODPORUJE</w:t>
                  </w:r>
                </w:p>
              </w:tc>
            </w:tr>
            <w:tr w:rsidR="009327B8" w:rsidRPr="009327B8" w14:paraId="79F72CBA" w14:textId="77777777" w:rsidTr="007800EF">
              <w:trPr>
                <w:trHeight w:val="288"/>
              </w:trPr>
              <w:tc>
                <w:tcPr>
                  <w:tcW w:w="7520" w:type="dxa"/>
                  <w:shd w:val="clear" w:color="auto" w:fill="auto"/>
                  <w:hideMark/>
                </w:tcPr>
                <w:p w14:paraId="756CC6F0"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Počet aktivních VLAN</w:t>
                  </w:r>
                </w:p>
              </w:tc>
              <w:tc>
                <w:tcPr>
                  <w:tcW w:w="1984" w:type="dxa"/>
                  <w:shd w:val="clear" w:color="auto" w:fill="auto"/>
                  <w:vAlign w:val="center"/>
                  <w:hideMark/>
                </w:tcPr>
                <w:p w14:paraId="6918DD85"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min. 1000</w:t>
                  </w:r>
                </w:p>
              </w:tc>
            </w:tr>
            <w:tr w:rsidR="009327B8" w:rsidRPr="009327B8" w14:paraId="7F18DBBD" w14:textId="77777777" w:rsidTr="007800EF">
              <w:trPr>
                <w:trHeight w:val="288"/>
              </w:trPr>
              <w:tc>
                <w:tcPr>
                  <w:tcW w:w="7520" w:type="dxa"/>
                  <w:shd w:val="clear" w:color="auto" w:fill="auto"/>
                  <w:hideMark/>
                </w:tcPr>
                <w:p w14:paraId="1A7BCD9D"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Podpora jumbo rámců</w:t>
                  </w:r>
                </w:p>
              </w:tc>
              <w:tc>
                <w:tcPr>
                  <w:tcW w:w="1984" w:type="dxa"/>
                  <w:shd w:val="clear" w:color="auto" w:fill="auto"/>
                  <w:vAlign w:val="center"/>
                  <w:hideMark/>
                </w:tcPr>
                <w:p w14:paraId="1A8BC532"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PODPORUJE</w:t>
                  </w:r>
                </w:p>
              </w:tc>
            </w:tr>
            <w:tr w:rsidR="009327B8" w:rsidRPr="009327B8" w14:paraId="17C4FCAE" w14:textId="77777777" w:rsidTr="007800EF">
              <w:trPr>
                <w:trHeight w:val="288"/>
              </w:trPr>
              <w:tc>
                <w:tcPr>
                  <w:tcW w:w="7520" w:type="dxa"/>
                  <w:shd w:val="clear" w:color="auto" w:fill="auto"/>
                  <w:hideMark/>
                </w:tcPr>
                <w:p w14:paraId="77B2D3EC"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lastRenderedPageBreak/>
                    <w:t>Velikost L2 přepínací tabulky</w:t>
                  </w:r>
                </w:p>
              </w:tc>
              <w:tc>
                <w:tcPr>
                  <w:tcW w:w="1984" w:type="dxa"/>
                  <w:shd w:val="clear" w:color="auto" w:fill="auto"/>
                  <w:vAlign w:val="center"/>
                  <w:hideMark/>
                </w:tcPr>
                <w:p w14:paraId="22790517"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sz w:val="16"/>
                      <w:szCs w:val="16"/>
                      <w:lang w:eastAsia="ar-SA"/>
                    </w:rPr>
                    <w:t>min. 16K záznamů</w:t>
                  </w:r>
                </w:p>
              </w:tc>
            </w:tr>
            <w:tr w:rsidR="009327B8" w:rsidRPr="009327B8" w14:paraId="1CABE5A7" w14:textId="77777777" w:rsidTr="007800EF">
              <w:trPr>
                <w:trHeight w:val="288"/>
              </w:trPr>
              <w:tc>
                <w:tcPr>
                  <w:tcW w:w="7520" w:type="dxa"/>
                  <w:shd w:val="clear" w:color="auto" w:fill="auto"/>
                  <w:hideMark/>
                </w:tcPr>
                <w:p w14:paraId="7B1E50F6"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Calibri" w:hAnsi="Arial" w:cs="Arial"/>
                      <w:sz w:val="16"/>
                      <w:szCs w:val="16"/>
                    </w:rPr>
                    <w:t xml:space="preserve">Možnost rozšíření o </w:t>
                  </w:r>
                  <w:proofErr w:type="spellStart"/>
                  <w:r w:rsidRPr="009327B8">
                    <w:rPr>
                      <w:rFonts w:ascii="Arial" w:eastAsia="Calibri" w:hAnsi="Arial" w:cs="Arial"/>
                      <w:sz w:val="16"/>
                      <w:szCs w:val="16"/>
                    </w:rPr>
                    <w:t>stackovací</w:t>
                  </w:r>
                  <w:proofErr w:type="spellEnd"/>
                  <w:r w:rsidRPr="009327B8">
                    <w:rPr>
                      <w:rFonts w:ascii="Arial" w:eastAsia="Calibri" w:hAnsi="Arial" w:cs="Arial"/>
                      <w:sz w:val="16"/>
                      <w:szCs w:val="16"/>
                    </w:rPr>
                    <w:t xml:space="preserve"> modul s možností </w:t>
                  </w:r>
                  <w:proofErr w:type="spellStart"/>
                  <w:r w:rsidRPr="009327B8">
                    <w:rPr>
                      <w:rFonts w:ascii="Arial" w:eastAsia="Calibri" w:hAnsi="Arial" w:cs="Arial"/>
                      <w:sz w:val="16"/>
                      <w:szCs w:val="16"/>
                    </w:rPr>
                    <w:t>sestackování</w:t>
                  </w:r>
                  <w:proofErr w:type="spellEnd"/>
                  <w:r w:rsidRPr="009327B8">
                    <w:rPr>
                      <w:rFonts w:ascii="Arial" w:eastAsia="Calibri" w:hAnsi="Arial" w:cs="Arial"/>
                      <w:sz w:val="16"/>
                      <w:szCs w:val="16"/>
                    </w:rPr>
                    <w:t xml:space="preserve"> až 8 přepínačů a propustností </w:t>
                  </w:r>
                  <w:proofErr w:type="spellStart"/>
                  <w:r w:rsidRPr="009327B8">
                    <w:rPr>
                      <w:rFonts w:ascii="Arial" w:eastAsia="Calibri" w:hAnsi="Arial" w:cs="Arial"/>
                      <w:sz w:val="16"/>
                      <w:szCs w:val="16"/>
                    </w:rPr>
                    <w:t>stacku</w:t>
                  </w:r>
                  <w:proofErr w:type="spellEnd"/>
                  <w:r w:rsidRPr="009327B8">
                    <w:rPr>
                      <w:rFonts w:ascii="Arial" w:eastAsia="Calibri" w:hAnsi="Arial" w:cs="Arial"/>
                      <w:sz w:val="16"/>
                      <w:szCs w:val="16"/>
                    </w:rPr>
                    <w:t xml:space="preserve"> min. 40 </w:t>
                  </w:r>
                  <w:proofErr w:type="spellStart"/>
                  <w:r w:rsidRPr="009327B8">
                    <w:rPr>
                      <w:rFonts w:ascii="Arial" w:eastAsia="Calibri" w:hAnsi="Arial" w:cs="Arial"/>
                      <w:sz w:val="16"/>
                      <w:szCs w:val="16"/>
                    </w:rPr>
                    <w:t>Gbps</w:t>
                  </w:r>
                  <w:proofErr w:type="spellEnd"/>
                </w:p>
              </w:tc>
              <w:tc>
                <w:tcPr>
                  <w:tcW w:w="1984" w:type="dxa"/>
                  <w:shd w:val="clear" w:color="auto" w:fill="auto"/>
                  <w:vAlign w:val="center"/>
                  <w:hideMark/>
                </w:tcPr>
                <w:p w14:paraId="5514DE95" w14:textId="77777777" w:rsidR="009327B8" w:rsidRPr="009327B8" w:rsidRDefault="009327B8" w:rsidP="009327B8">
                  <w:pPr>
                    <w:suppressAutoHyphens/>
                    <w:spacing w:after="0" w:line="240" w:lineRule="auto"/>
                    <w:jc w:val="center"/>
                    <w:rPr>
                      <w:rFonts w:ascii="Arial" w:eastAsia="Times New Roman" w:hAnsi="Arial" w:cs="Arial"/>
                      <w:sz w:val="16"/>
                      <w:szCs w:val="16"/>
                      <w:lang w:eastAsia="ar-SA"/>
                    </w:rPr>
                  </w:pPr>
                  <w:r w:rsidRPr="009327B8">
                    <w:rPr>
                      <w:rFonts w:ascii="Arial" w:eastAsia="Times New Roman" w:hAnsi="Arial" w:cs="Arial"/>
                      <w:sz w:val="16"/>
                      <w:szCs w:val="16"/>
                      <w:lang w:eastAsia="ar-SA"/>
                    </w:rPr>
                    <w:t>UMOŽŇUJE</w:t>
                  </w:r>
                </w:p>
              </w:tc>
            </w:tr>
            <w:tr w:rsidR="009327B8" w:rsidRPr="009327B8" w14:paraId="02E40F4D" w14:textId="77777777" w:rsidTr="007800EF">
              <w:trPr>
                <w:trHeight w:val="288"/>
              </w:trPr>
              <w:tc>
                <w:tcPr>
                  <w:tcW w:w="7520" w:type="dxa"/>
                  <w:shd w:val="clear" w:color="auto" w:fill="auto"/>
                  <w:vAlign w:val="center"/>
                  <w:hideMark/>
                </w:tcPr>
                <w:p w14:paraId="09960440" w14:textId="77777777" w:rsidR="009327B8" w:rsidRPr="009327B8" w:rsidRDefault="009327B8" w:rsidP="009327B8">
                  <w:pPr>
                    <w:suppressAutoHyphens/>
                    <w:spacing w:after="0" w:line="240" w:lineRule="auto"/>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Sériová konzolová linka</w:t>
                  </w:r>
                </w:p>
              </w:tc>
              <w:tc>
                <w:tcPr>
                  <w:tcW w:w="1984" w:type="dxa"/>
                  <w:shd w:val="clear" w:color="auto" w:fill="auto"/>
                  <w:hideMark/>
                </w:tcPr>
                <w:p w14:paraId="5B2DB0CA" w14:textId="77777777" w:rsidR="009327B8" w:rsidRPr="009327B8" w:rsidRDefault="009327B8" w:rsidP="009327B8">
                  <w:pPr>
                    <w:autoSpaceDE w:val="0"/>
                    <w:autoSpaceDN w:val="0"/>
                    <w:adjustRightInd w:val="0"/>
                    <w:spacing w:after="0"/>
                    <w:jc w:val="center"/>
                    <w:rPr>
                      <w:rFonts w:ascii="Arial" w:hAnsi="Arial" w:cs="Arial"/>
                      <w:color w:val="000000"/>
                      <w:sz w:val="16"/>
                      <w:szCs w:val="16"/>
                    </w:rPr>
                  </w:pPr>
                  <w:r w:rsidRPr="009327B8">
                    <w:rPr>
                      <w:rFonts w:ascii="Arial" w:hAnsi="Arial" w:cs="Arial"/>
                      <w:color w:val="000000"/>
                      <w:sz w:val="16"/>
                      <w:szCs w:val="16"/>
                    </w:rPr>
                    <w:t>PODPORUJE</w:t>
                  </w:r>
                </w:p>
              </w:tc>
            </w:tr>
            <w:tr w:rsidR="009327B8" w:rsidRPr="009327B8" w14:paraId="4BCD76EA" w14:textId="77777777" w:rsidTr="007800EF">
              <w:trPr>
                <w:trHeight w:val="288"/>
              </w:trPr>
              <w:tc>
                <w:tcPr>
                  <w:tcW w:w="7520" w:type="dxa"/>
                  <w:shd w:val="clear" w:color="auto" w:fill="auto"/>
                  <w:vAlign w:val="center"/>
                  <w:hideMark/>
                </w:tcPr>
                <w:p w14:paraId="022BAF41" w14:textId="77777777" w:rsidR="009327B8" w:rsidRPr="009327B8" w:rsidRDefault="009327B8" w:rsidP="009327B8">
                  <w:pPr>
                    <w:suppressAutoHyphens/>
                    <w:spacing w:after="0" w:line="240" w:lineRule="auto"/>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Textové řádkově orientované/CLI konfigurační rozhraní</w:t>
                  </w:r>
                </w:p>
              </w:tc>
              <w:tc>
                <w:tcPr>
                  <w:tcW w:w="1984" w:type="dxa"/>
                  <w:shd w:val="clear" w:color="auto" w:fill="auto"/>
                  <w:hideMark/>
                </w:tcPr>
                <w:p w14:paraId="60EEFF85" w14:textId="77777777" w:rsidR="009327B8" w:rsidRPr="009327B8" w:rsidRDefault="009327B8" w:rsidP="009327B8">
                  <w:pPr>
                    <w:autoSpaceDE w:val="0"/>
                    <w:autoSpaceDN w:val="0"/>
                    <w:adjustRightInd w:val="0"/>
                    <w:spacing w:after="0"/>
                    <w:jc w:val="center"/>
                    <w:rPr>
                      <w:rFonts w:ascii="Arial" w:hAnsi="Arial" w:cs="Arial"/>
                      <w:color w:val="000000"/>
                      <w:sz w:val="16"/>
                      <w:szCs w:val="16"/>
                    </w:rPr>
                  </w:pPr>
                  <w:r w:rsidRPr="009327B8">
                    <w:rPr>
                      <w:rFonts w:ascii="Arial" w:hAnsi="Arial" w:cs="Arial"/>
                      <w:color w:val="000000"/>
                      <w:sz w:val="16"/>
                      <w:szCs w:val="16"/>
                    </w:rPr>
                    <w:t>PODPORUJE</w:t>
                  </w:r>
                </w:p>
              </w:tc>
            </w:tr>
            <w:tr w:rsidR="009327B8" w:rsidRPr="009327B8" w14:paraId="07CACA5A" w14:textId="77777777" w:rsidTr="007800EF">
              <w:trPr>
                <w:trHeight w:val="288"/>
              </w:trPr>
              <w:tc>
                <w:tcPr>
                  <w:tcW w:w="7520" w:type="dxa"/>
                  <w:shd w:val="clear" w:color="auto" w:fill="auto"/>
                  <w:vAlign w:val="center"/>
                  <w:hideMark/>
                </w:tcPr>
                <w:p w14:paraId="2457CCE5" w14:textId="77777777" w:rsidR="009327B8" w:rsidRPr="009327B8" w:rsidRDefault="009327B8" w:rsidP="009327B8">
                  <w:pPr>
                    <w:suppressAutoHyphens/>
                    <w:spacing w:after="0" w:line="240" w:lineRule="auto"/>
                    <w:ind w:left="2124" w:hanging="2124"/>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Konfigurace zařízení v člověku čitelné textové formě</w:t>
                  </w:r>
                </w:p>
              </w:tc>
              <w:tc>
                <w:tcPr>
                  <w:tcW w:w="1984" w:type="dxa"/>
                  <w:shd w:val="clear" w:color="auto" w:fill="auto"/>
                  <w:hideMark/>
                </w:tcPr>
                <w:p w14:paraId="575C3785" w14:textId="77777777" w:rsidR="009327B8" w:rsidRPr="009327B8" w:rsidRDefault="009327B8" w:rsidP="009327B8">
                  <w:pPr>
                    <w:autoSpaceDE w:val="0"/>
                    <w:autoSpaceDN w:val="0"/>
                    <w:adjustRightInd w:val="0"/>
                    <w:spacing w:after="0"/>
                    <w:jc w:val="center"/>
                    <w:rPr>
                      <w:rFonts w:ascii="Arial" w:hAnsi="Arial" w:cs="Arial"/>
                      <w:color w:val="000000"/>
                      <w:sz w:val="16"/>
                      <w:szCs w:val="16"/>
                    </w:rPr>
                  </w:pPr>
                  <w:r w:rsidRPr="009327B8">
                    <w:rPr>
                      <w:rFonts w:ascii="Arial" w:hAnsi="Arial" w:cs="Arial"/>
                      <w:color w:val="000000"/>
                      <w:sz w:val="16"/>
                      <w:szCs w:val="16"/>
                    </w:rPr>
                    <w:t>PODPORUJE</w:t>
                  </w:r>
                </w:p>
              </w:tc>
            </w:tr>
            <w:tr w:rsidR="009327B8" w:rsidRPr="009327B8" w14:paraId="635C04C8" w14:textId="77777777" w:rsidTr="007800EF">
              <w:trPr>
                <w:trHeight w:val="288"/>
              </w:trPr>
              <w:tc>
                <w:tcPr>
                  <w:tcW w:w="9504" w:type="dxa"/>
                  <w:gridSpan w:val="2"/>
                  <w:shd w:val="clear" w:color="auto" w:fill="auto"/>
                  <w:vAlign w:val="center"/>
                  <w:hideMark/>
                </w:tcPr>
                <w:p w14:paraId="09C19ACB" w14:textId="77777777" w:rsidR="009327B8" w:rsidRPr="009327B8" w:rsidRDefault="009327B8" w:rsidP="009327B8">
                  <w:pPr>
                    <w:autoSpaceDE w:val="0"/>
                    <w:autoSpaceDN w:val="0"/>
                    <w:adjustRightInd w:val="0"/>
                    <w:spacing w:after="0"/>
                    <w:rPr>
                      <w:rFonts w:ascii="Arial" w:hAnsi="Arial" w:cs="Arial"/>
                      <w:b/>
                      <w:color w:val="000000"/>
                      <w:sz w:val="16"/>
                      <w:szCs w:val="16"/>
                    </w:rPr>
                  </w:pPr>
                  <w:r w:rsidRPr="009327B8">
                    <w:rPr>
                      <w:rFonts w:ascii="Arial" w:hAnsi="Arial" w:cs="Arial"/>
                      <w:b/>
                      <w:color w:val="000000"/>
                      <w:sz w:val="16"/>
                      <w:szCs w:val="16"/>
                    </w:rPr>
                    <w:t>Požadavky na podporu a údržbu</w:t>
                  </w:r>
                </w:p>
              </w:tc>
            </w:tr>
            <w:tr w:rsidR="009327B8" w:rsidRPr="009327B8" w14:paraId="6EED180D" w14:textId="77777777" w:rsidTr="007800EF">
              <w:trPr>
                <w:trHeight w:val="288"/>
              </w:trPr>
              <w:tc>
                <w:tcPr>
                  <w:tcW w:w="7520" w:type="dxa"/>
                  <w:shd w:val="clear" w:color="auto" w:fill="auto"/>
                  <w:hideMark/>
                </w:tcPr>
                <w:p w14:paraId="5C305ED8" w14:textId="77777777" w:rsidR="009327B8" w:rsidRPr="009327B8" w:rsidRDefault="009327B8" w:rsidP="009327B8">
                  <w:pPr>
                    <w:spacing w:after="0" w:line="240" w:lineRule="auto"/>
                    <w:rPr>
                      <w:rFonts w:ascii="Arial" w:eastAsia="Calibri" w:hAnsi="Arial" w:cs="Arial"/>
                      <w:sz w:val="16"/>
                      <w:szCs w:val="16"/>
                    </w:rPr>
                  </w:pPr>
                  <w:r w:rsidRPr="009327B8">
                    <w:rPr>
                      <w:rFonts w:ascii="Arial" w:eastAsia="Times New Roman" w:hAnsi="Arial" w:cs="Arial"/>
                      <w:color w:val="000000"/>
                      <w:sz w:val="16"/>
                      <w:szCs w:val="16"/>
                      <w:lang w:eastAsia="cs-CZ"/>
                    </w:rPr>
                    <w:t>Lokální zastoupení výrobce v České republice</w:t>
                  </w:r>
                </w:p>
              </w:tc>
              <w:tc>
                <w:tcPr>
                  <w:tcW w:w="1984" w:type="dxa"/>
                  <w:shd w:val="clear" w:color="auto" w:fill="auto"/>
                  <w:vAlign w:val="center"/>
                  <w:hideMark/>
                </w:tcPr>
                <w:p w14:paraId="46B37DC7"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ANO</w:t>
                  </w:r>
                </w:p>
              </w:tc>
            </w:tr>
            <w:tr w:rsidR="009327B8" w:rsidRPr="009327B8" w14:paraId="3CFA4D0B" w14:textId="77777777" w:rsidTr="007800EF">
              <w:trPr>
                <w:trHeight w:val="288"/>
              </w:trPr>
              <w:tc>
                <w:tcPr>
                  <w:tcW w:w="7520" w:type="dxa"/>
                  <w:shd w:val="clear" w:color="auto" w:fill="auto"/>
                  <w:hideMark/>
                </w:tcPr>
                <w:p w14:paraId="18C0A5FB" w14:textId="77777777" w:rsidR="009327B8" w:rsidRPr="009327B8" w:rsidRDefault="009327B8" w:rsidP="009327B8">
                  <w:pPr>
                    <w:spacing w:after="0" w:line="240" w:lineRule="auto"/>
                    <w:rPr>
                      <w:rFonts w:ascii="Arial" w:eastAsia="Times New Roman" w:hAnsi="Arial" w:cs="Arial"/>
                      <w:color w:val="000000"/>
                      <w:sz w:val="16"/>
                      <w:szCs w:val="16"/>
                      <w:lang w:eastAsia="cs-CZ"/>
                    </w:rPr>
                  </w:pPr>
                  <w:r w:rsidRPr="009327B8">
                    <w:rPr>
                      <w:rFonts w:ascii="Arial" w:eastAsia="Times New Roman" w:hAnsi="Arial" w:cs="Arial"/>
                      <w:color w:val="000000"/>
                      <w:sz w:val="16"/>
                      <w:szCs w:val="16"/>
                      <w:lang w:eastAsia="cs-CZ"/>
                    </w:rPr>
                    <w:t>Záruka</w:t>
                  </w:r>
                </w:p>
              </w:tc>
              <w:tc>
                <w:tcPr>
                  <w:tcW w:w="1984" w:type="dxa"/>
                  <w:shd w:val="clear" w:color="auto" w:fill="auto"/>
                  <w:vAlign w:val="center"/>
                  <w:hideMark/>
                </w:tcPr>
                <w:p w14:paraId="31AC6062" w14:textId="77777777" w:rsidR="009327B8" w:rsidRPr="009327B8" w:rsidRDefault="009327B8" w:rsidP="009327B8">
                  <w:pPr>
                    <w:suppressAutoHyphens/>
                    <w:spacing w:after="0" w:line="240" w:lineRule="auto"/>
                    <w:jc w:val="center"/>
                    <w:rPr>
                      <w:rFonts w:ascii="Arial" w:eastAsia="Times New Roman" w:hAnsi="Arial" w:cs="Arial"/>
                      <w:color w:val="000000"/>
                      <w:sz w:val="16"/>
                      <w:szCs w:val="16"/>
                      <w:lang w:eastAsia="ar-SA"/>
                    </w:rPr>
                  </w:pPr>
                  <w:r w:rsidRPr="009327B8">
                    <w:rPr>
                      <w:rFonts w:ascii="Arial" w:eastAsia="Times New Roman" w:hAnsi="Arial" w:cs="Arial"/>
                      <w:color w:val="000000"/>
                      <w:sz w:val="16"/>
                      <w:szCs w:val="16"/>
                      <w:lang w:eastAsia="ar-SA"/>
                    </w:rPr>
                    <w:t>min. 60 měsíců</w:t>
                  </w:r>
                </w:p>
              </w:tc>
            </w:tr>
          </w:tbl>
          <w:p w14:paraId="696A76BC" w14:textId="77777777" w:rsidR="009327B8" w:rsidRPr="009327B8" w:rsidRDefault="009327B8" w:rsidP="009327B8">
            <w:pPr>
              <w:suppressAutoHyphens/>
              <w:spacing w:after="0" w:line="240" w:lineRule="auto"/>
              <w:ind w:firstLine="1913"/>
              <w:rPr>
                <w:rFonts w:ascii="Times New Roman" w:eastAsia="Times New Roman" w:hAnsi="Times New Roman" w:cs="Times New Roman"/>
                <w:b/>
                <w:bCs/>
                <w:sz w:val="24"/>
                <w:szCs w:val="24"/>
                <w:lang w:eastAsia="ar-SA"/>
              </w:rPr>
            </w:pPr>
          </w:p>
        </w:tc>
      </w:tr>
    </w:tbl>
    <w:p w14:paraId="7B99D5F5" w14:textId="77777777" w:rsidR="009327B8" w:rsidRPr="009327B8" w:rsidRDefault="009327B8" w:rsidP="009327B8">
      <w:pPr>
        <w:suppressAutoHyphens/>
        <w:spacing w:after="0" w:line="240" w:lineRule="auto"/>
        <w:rPr>
          <w:rFonts w:ascii="Times New Roman" w:eastAsia="Times New Roman" w:hAnsi="Times New Roman" w:cs="Times New Roman"/>
          <w:sz w:val="24"/>
          <w:szCs w:val="24"/>
          <w:lang w:eastAsia="ar-SA"/>
        </w:rPr>
      </w:pPr>
    </w:p>
    <w:p w14:paraId="57B2021A" w14:textId="77777777" w:rsidR="009327B8" w:rsidRPr="009327B8" w:rsidRDefault="009327B8" w:rsidP="009327B8">
      <w:pPr>
        <w:suppressAutoHyphens/>
        <w:spacing w:after="0" w:line="240" w:lineRule="auto"/>
        <w:rPr>
          <w:rFonts w:ascii="Times New Roman" w:eastAsia="Times New Roman" w:hAnsi="Times New Roman" w:cs="Times New Roman"/>
          <w:sz w:val="24"/>
          <w:szCs w:val="24"/>
          <w:lang w:eastAsia="ar-SA"/>
        </w:rPr>
      </w:pPr>
    </w:p>
    <w:p w14:paraId="63078113" w14:textId="77777777" w:rsidR="009327B8" w:rsidRPr="009327B8" w:rsidRDefault="009327B8" w:rsidP="009327B8">
      <w:pPr>
        <w:suppressAutoHyphens/>
        <w:spacing w:after="0" w:line="240" w:lineRule="auto"/>
        <w:rPr>
          <w:rFonts w:ascii="Times New Roman" w:eastAsia="Times New Roman" w:hAnsi="Times New Roman" w:cs="Times New Roman"/>
          <w:sz w:val="24"/>
          <w:szCs w:val="24"/>
          <w:lang w:eastAsia="ar-SA"/>
        </w:rPr>
      </w:pPr>
    </w:p>
    <w:p w14:paraId="31EFA9BE" w14:textId="77777777" w:rsidR="009327B8" w:rsidRPr="009327B8" w:rsidRDefault="009327B8" w:rsidP="009327B8">
      <w:pPr>
        <w:numPr>
          <w:ilvl w:val="0"/>
          <w:numId w:val="13"/>
        </w:numPr>
        <w:suppressAutoHyphens/>
        <w:spacing w:after="0" w:line="240" w:lineRule="auto"/>
        <w:contextualSpacing/>
        <w:rPr>
          <w:rFonts w:ascii="Times New Roman" w:eastAsia="Times New Roman" w:hAnsi="Times New Roman" w:cs="Times New Roman"/>
          <w:b/>
          <w:bCs/>
          <w:sz w:val="24"/>
          <w:szCs w:val="24"/>
          <w:lang w:eastAsia="ar-SA"/>
        </w:rPr>
      </w:pPr>
      <w:r w:rsidRPr="009327B8">
        <w:rPr>
          <w:rFonts w:ascii="Times New Roman" w:eastAsia="Times New Roman" w:hAnsi="Times New Roman" w:cs="Times New Roman"/>
          <w:b/>
          <w:bCs/>
          <w:sz w:val="24"/>
          <w:szCs w:val="24"/>
          <w:lang w:eastAsia="ar-SA"/>
        </w:rPr>
        <w:t>Modul SFP+ - 6 ks</w:t>
      </w:r>
    </w:p>
    <w:p w14:paraId="524FB0D2" w14:textId="77777777" w:rsidR="009327B8" w:rsidRPr="009327B8" w:rsidRDefault="009327B8" w:rsidP="009327B8">
      <w:pPr>
        <w:suppressAutoHyphens/>
        <w:spacing w:after="0" w:line="240" w:lineRule="auto"/>
        <w:ind w:left="720"/>
        <w:contextualSpacing/>
        <w:rPr>
          <w:rFonts w:ascii="Times New Roman" w:eastAsia="Times New Roman" w:hAnsi="Times New Roman" w:cs="Times New Roman"/>
          <w:sz w:val="24"/>
          <w:szCs w:val="24"/>
          <w:lang w:eastAsia="ar-SA"/>
        </w:rPr>
      </w:pPr>
      <w:r w:rsidRPr="009327B8">
        <w:rPr>
          <w:rFonts w:ascii="Times New Roman" w:eastAsia="Times New Roman" w:hAnsi="Times New Roman" w:cs="Times New Roman"/>
          <w:sz w:val="24"/>
          <w:szCs w:val="24"/>
          <w:lang w:eastAsia="ar-SA"/>
        </w:rPr>
        <w:t xml:space="preserve">850nm VCSEL, </w:t>
      </w:r>
      <w:proofErr w:type="spellStart"/>
      <w:r w:rsidRPr="009327B8">
        <w:rPr>
          <w:rFonts w:ascii="Times New Roman" w:eastAsia="Times New Roman" w:hAnsi="Times New Roman" w:cs="Times New Roman"/>
          <w:sz w:val="24"/>
          <w:szCs w:val="24"/>
          <w:lang w:eastAsia="ar-SA"/>
        </w:rPr>
        <w:t>multimode</w:t>
      </w:r>
      <w:proofErr w:type="spellEnd"/>
      <w:r w:rsidRPr="009327B8">
        <w:rPr>
          <w:rFonts w:ascii="Times New Roman" w:eastAsia="Times New Roman" w:hAnsi="Times New Roman" w:cs="Times New Roman"/>
          <w:sz w:val="24"/>
          <w:szCs w:val="24"/>
          <w:lang w:eastAsia="ar-SA"/>
        </w:rPr>
        <w:t xml:space="preserve">, dosah 300m), kompatibilní se </w:t>
      </w:r>
      <w:proofErr w:type="spellStart"/>
      <w:r w:rsidRPr="009327B8">
        <w:rPr>
          <w:rFonts w:ascii="Times New Roman" w:eastAsia="Times New Roman" w:hAnsi="Times New Roman" w:cs="Times New Roman"/>
          <w:sz w:val="24"/>
          <w:szCs w:val="24"/>
          <w:lang w:eastAsia="ar-SA"/>
        </w:rPr>
        <w:t>switchem</w:t>
      </w:r>
      <w:proofErr w:type="spellEnd"/>
      <w:r w:rsidRPr="009327B8">
        <w:rPr>
          <w:rFonts w:ascii="Times New Roman" w:eastAsia="Times New Roman" w:hAnsi="Times New Roman" w:cs="Times New Roman"/>
          <w:sz w:val="24"/>
          <w:szCs w:val="24"/>
          <w:lang w:eastAsia="ar-SA"/>
        </w:rPr>
        <w:t xml:space="preserve"> 48psfp+</w:t>
      </w:r>
    </w:p>
    <w:p w14:paraId="563F371D" w14:textId="77777777" w:rsidR="009327B8" w:rsidRPr="009327B8" w:rsidRDefault="009327B8" w:rsidP="009327B8">
      <w:pPr>
        <w:suppressAutoHyphens/>
        <w:spacing w:after="0" w:line="240" w:lineRule="auto"/>
        <w:ind w:left="720"/>
        <w:contextualSpacing/>
        <w:rPr>
          <w:rFonts w:ascii="Times New Roman" w:eastAsia="Times New Roman" w:hAnsi="Times New Roman" w:cs="Times New Roman"/>
          <w:b/>
          <w:bCs/>
          <w:sz w:val="24"/>
          <w:szCs w:val="24"/>
          <w:lang w:eastAsia="ar-SA"/>
        </w:rPr>
      </w:pPr>
    </w:p>
    <w:p w14:paraId="523230AC" w14:textId="77777777" w:rsidR="009327B8" w:rsidRPr="009327B8" w:rsidRDefault="009327B8" w:rsidP="009327B8">
      <w:pPr>
        <w:numPr>
          <w:ilvl w:val="0"/>
          <w:numId w:val="13"/>
        </w:numPr>
        <w:suppressAutoHyphens/>
        <w:spacing w:after="0" w:line="240" w:lineRule="auto"/>
        <w:contextualSpacing/>
        <w:rPr>
          <w:rFonts w:ascii="Times New Roman" w:eastAsia="Times New Roman" w:hAnsi="Times New Roman" w:cs="Times New Roman"/>
          <w:b/>
          <w:bCs/>
          <w:sz w:val="24"/>
          <w:szCs w:val="24"/>
          <w:lang w:eastAsia="ar-SA"/>
        </w:rPr>
      </w:pPr>
      <w:r w:rsidRPr="009327B8">
        <w:rPr>
          <w:rFonts w:ascii="Times New Roman" w:eastAsia="Times New Roman" w:hAnsi="Times New Roman" w:cs="Times New Roman"/>
          <w:b/>
          <w:bCs/>
          <w:sz w:val="24"/>
          <w:szCs w:val="24"/>
          <w:lang w:eastAsia="ar-SA"/>
        </w:rPr>
        <w:t>Modul SFP+ - 6 ks</w:t>
      </w:r>
    </w:p>
    <w:p w14:paraId="6A8207DB" w14:textId="77777777" w:rsidR="009327B8" w:rsidRPr="009327B8" w:rsidRDefault="009327B8" w:rsidP="009327B8">
      <w:pPr>
        <w:suppressAutoHyphens/>
        <w:spacing w:after="0" w:line="240" w:lineRule="auto"/>
        <w:ind w:left="720"/>
        <w:contextualSpacing/>
        <w:rPr>
          <w:rFonts w:ascii="Times New Roman" w:eastAsia="Times New Roman" w:hAnsi="Times New Roman" w:cs="Times New Roman"/>
          <w:sz w:val="24"/>
          <w:szCs w:val="24"/>
          <w:lang w:eastAsia="ar-SA"/>
        </w:rPr>
      </w:pPr>
      <w:r w:rsidRPr="009327B8">
        <w:rPr>
          <w:rFonts w:ascii="Times New Roman" w:eastAsia="Times New Roman" w:hAnsi="Times New Roman" w:cs="Times New Roman"/>
          <w:sz w:val="24"/>
          <w:szCs w:val="24"/>
          <w:lang w:eastAsia="ar-SA"/>
        </w:rPr>
        <w:t xml:space="preserve">1310 </w:t>
      </w:r>
      <w:proofErr w:type="spellStart"/>
      <w:r w:rsidRPr="009327B8">
        <w:rPr>
          <w:rFonts w:ascii="Times New Roman" w:eastAsia="Times New Roman" w:hAnsi="Times New Roman" w:cs="Times New Roman"/>
          <w:sz w:val="24"/>
          <w:szCs w:val="24"/>
          <w:lang w:eastAsia="ar-SA"/>
        </w:rPr>
        <w:t>nm</w:t>
      </w:r>
      <w:proofErr w:type="spellEnd"/>
      <w:r w:rsidRPr="009327B8">
        <w:rPr>
          <w:rFonts w:ascii="Times New Roman" w:eastAsia="Times New Roman" w:hAnsi="Times New Roman" w:cs="Times New Roman"/>
          <w:sz w:val="24"/>
          <w:szCs w:val="24"/>
          <w:lang w:eastAsia="ar-SA"/>
        </w:rPr>
        <w:t xml:space="preserve">, </w:t>
      </w:r>
      <w:proofErr w:type="spellStart"/>
      <w:r w:rsidRPr="009327B8">
        <w:rPr>
          <w:rFonts w:ascii="Times New Roman" w:eastAsia="Times New Roman" w:hAnsi="Times New Roman" w:cs="Times New Roman"/>
          <w:sz w:val="24"/>
          <w:szCs w:val="24"/>
          <w:lang w:eastAsia="ar-SA"/>
        </w:rPr>
        <w:t>singlemode</w:t>
      </w:r>
      <w:proofErr w:type="spellEnd"/>
      <w:r w:rsidRPr="009327B8">
        <w:rPr>
          <w:rFonts w:ascii="Times New Roman" w:eastAsia="Times New Roman" w:hAnsi="Times New Roman" w:cs="Times New Roman"/>
          <w:sz w:val="24"/>
          <w:szCs w:val="24"/>
          <w:lang w:eastAsia="ar-SA"/>
        </w:rPr>
        <w:t xml:space="preserve">, dosah 20km), kompatibilní se </w:t>
      </w:r>
      <w:proofErr w:type="spellStart"/>
      <w:r w:rsidRPr="009327B8">
        <w:rPr>
          <w:rFonts w:ascii="Times New Roman" w:eastAsia="Times New Roman" w:hAnsi="Times New Roman" w:cs="Times New Roman"/>
          <w:sz w:val="24"/>
          <w:szCs w:val="24"/>
          <w:lang w:eastAsia="ar-SA"/>
        </w:rPr>
        <w:t>switchem</w:t>
      </w:r>
      <w:proofErr w:type="spellEnd"/>
      <w:r w:rsidRPr="009327B8">
        <w:rPr>
          <w:rFonts w:ascii="Times New Roman" w:eastAsia="Times New Roman" w:hAnsi="Times New Roman" w:cs="Times New Roman"/>
          <w:sz w:val="24"/>
          <w:szCs w:val="24"/>
          <w:lang w:eastAsia="ar-SA"/>
        </w:rPr>
        <w:t xml:space="preserve"> 48psfp+</w:t>
      </w:r>
    </w:p>
    <w:p w14:paraId="19744071"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1BD8E766"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6B31FE4E"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77F5F6C3"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xml:space="preserve">Uchazeč zaručuje, že všechny dodávané produkty: </w:t>
      </w:r>
    </w:p>
    <w:p w14:paraId="32087D91"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0AC5FEB8"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pochází výhradně z autorizovaného prodejního kanálu výrobce;</w:t>
      </w:r>
    </w:p>
    <w:p w14:paraId="68C9808E"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jsou zařaditelné pod záruku výrobce;</w:t>
      </w:r>
    </w:p>
    <w:p w14:paraId="1555ABC5"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xml:space="preserve">- mohou být výrobcem podporovány v souladu se servisními a </w:t>
      </w:r>
      <w:proofErr w:type="spellStart"/>
      <w:r w:rsidRPr="009327B8">
        <w:rPr>
          <w:rFonts w:ascii="Arial" w:eastAsia="Times New Roman" w:hAnsi="Arial" w:cs="Arial"/>
          <w:sz w:val="16"/>
          <w:szCs w:val="16"/>
          <w:lang w:eastAsia="ar-SA"/>
        </w:rPr>
        <w:t>supportními</w:t>
      </w:r>
      <w:proofErr w:type="spellEnd"/>
      <w:r w:rsidRPr="009327B8">
        <w:rPr>
          <w:rFonts w:ascii="Arial" w:eastAsia="Times New Roman" w:hAnsi="Arial" w:cs="Arial"/>
          <w:sz w:val="16"/>
          <w:szCs w:val="16"/>
          <w:lang w:eastAsia="ar-SA"/>
        </w:rPr>
        <w:t xml:space="preserve"> podmínkami výrobce;</w:t>
      </w:r>
    </w:p>
    <w:p w14:paraId="12AB526D"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jsou licencovány na Zadavatele jakožto koncového uživatele;</w:t>
      </w:r>
    </w:p>
    <w:p w14:paraId="5185D95E"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informace o prodeji jsou reportovány zpět výrobci s uvedením Zadavatele jako koncového uživatele.</w:t>
      </w:r>
    </w:p>
    <w:p w14:paraId="16F0C6B7"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xml:space="preserve"> </w:t>
      </w:r>
    </w:p>
    <w:p w14:paraId="2E040C9C"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 xml:space="preserve">V případě, že jakýkoli dodaný výrobek nesplňuje některou z výše uvedených povinností, jedná se o podstatné porušení podmínek ze strany Uchazeče. </w:t>
      </w:r>
    </w:p>
    <w:p w14:paraId="6C648400"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6728F134"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r w:rsidRPr="009327B8">
        <w:rPr>
          <w:rFonts w:ascii="Arial" w:eastAsia="Times New Roman" w:hAnsi="Arial" w:cs="Arial"/>
          <w:sz w:val="16"/>
          <w:szCs w:val="16"/>
          <w:lang w:eastAsia="ar-SA"/>
        </w:rPr>
        <w:t>Zadavatel si vyhrazuje právo před akceptací dodávky ověřit původ produktů dodaných Uchazečem.</w:t>
      </w:r>
    </w:p>
    <w:p w14:paraId="28BA45D0" w14:textId="77777777" w:rsidR="009327B8" w:rsidRPr="009327B8" w:rsidRDefault="009327B8" w:rsidP="009327B8">
      <w:pPr>
        <w:suppressAutoHyphens/>
        <w:spacing w:after="0" w:line="240" w:lineRule="auto"/>
        <w:rPr>
          <w:rFonts w:ascii="Arial" w:eastAsia="Times New Roman" w:hAnsi="Arial" w:cs="Arial"/>
          <w:sz w:val="16"/>
          <w:szCs w:val="16"/>
          <w:lang w:eastAsia="ar-SA"/>
        </w:rPr>
      </w:pPr>
    </w:p>
    <w:p w14:paraId="0D1501F3" w14:textId="77777777" w:rsidR="009327B8" w:rsidRPr="009327B8" w:rsidRDefault="009327B8" w:rsidP="009327B8">
      <w:pPr>
        <w:suppressAutoHyphens/>
        <w:spacing w:after="0" w:line="240" w:lineRule="auto"/>
        <w:rPr>
          <w:rFonts w:ascii="Times New Roman" w:eastAsia="Times New Roman" w:hAnsi="Times New Roman" w:cs="Times New Roman"/>
          <w:sz w:val="24"/>
          <w:szCs w:val="24"/>
          <w:lang w:eastAsia="ar-SA"/>
        </w:rPr>
      </w:pPr>
    </w:p>
    <w:p w14:paraId="7326AEF8" w14:textId="77777777" w:rsidR="00B17B48" w:rsidRDefault="00B17B48" w:rsidP="00EC1584">
      <w:pPr>
        <w:spacing w:after="0" w:line="240" w:lineRule="auto"/>
        <w:rPr>
          <w:rFonts w:ascii="Arial" w:hAnsi="Arial" w:cs="Arial"/>
          <w:sz w:val="16"/>
          <w:szCs w:val="16"/>
        </w:rPr>
      </w:pPr>
    </w:p>
    <w:p w14:paraId="2E136252" w14:textId="77777777" w:rsidR="00B17B48" w:rsidRDefault="00B17B48" w:rsidP="00EC1584">
      <w:pPr>
        <w:spacing w:after="0" w:line="240" w:lineRule="auto"/>
        <w:rPr>
          <w:rFonts w:ascii="Arial" w:hAnsi="Arial" w:cs="Arial"/>
          <w:sz w:val="16"/>
          <w:szCs w:val="16"/>
        </w:rPr>
      </w:pPr>
    </w:p>
    <w:p w14:paraId="38AFB1F1" w14:textId="77777777" w:rsidR="00B17B48" w:rsidRDefault="00B17B48" w:rsidP="00EC1584">
      <w:pPr>
        <w:spacing w:after="0" w:line="240" w:lineRule="auto"/>
        <w:rPr>
          <w:rFonts w:ascii="Arial" w:hAnsi="Arial" w:cs="Arial"/>
          <w:sz w:val="16"/>
          <w:szCs w:val="16"/>
        </w:rPr>
      </w:pPr>
    </w:p>
    <w:p w14:paraId="474A2F56" w14:textId="77777777" w:rsidR="00B17B48" w:rsidRDefault="00B17B48" w:rsidP="00EC1584">
      <w:pPr>
        <w:spacing w:after="0" w:line="240" w:lineRule="auto"/>
        <w:rPr>
          <w:rFonts w:ascii="Arial" w:hAnsi="Arial" w:cs="Arial"/>
          <w:sz w:val="16"/>
          <w:szCs w:val="16"/>
        </w:rPr>
      </w:pPr>
    </w:p>
    <w:p w14:paraId="0406C658" w14:textId="77777777" w:rsidR="00B17B48" w:rsidRDefault="00B17B48" w:rsidP="00EC1584">
      <w:pPr>
        <w:spacing w:after="0" w:line="240" w:lineRule="auto"/>
        <w:rPr>
          <w:rFonts w:ascii="Arial" w:hAnsi="Arial" w:cs="Arial"/>
          <w:sz w:val="16"/>
          <w:szCs w:val="16"/>
        </w:rPr>
      </w:pPr>
    </w:p>
    <w:p w14:paraId="12F3D81E" w14:textId="77777777" w:rsidR="00B17B48" w:rsidRDefault="00B17B48" w:rsidP="00EC1584">
      <w:pPr>
        <w:spacing w:after="0" w:line="240" w:lineRule="auto"/>
        <w:rPr>
          <w:rFonts w:ascii="Arial" w:hAnsi="Arial" w:cs="Arial"/>
          <w:sz w:val="16"/>
          <w:szCs w:val="16"/>
        </w:rPr>
      </w:pPr>
    </w:p>
    <w:p w14:paraId="2FB6A894" w14:textId="77777777" w:rsidR="00B17B48" w:rsidRDefault="00B17B48" w:rsidP="00EC1584">
      <w:pPr>
        <w:spacing w:after="0" w:line="240" w:lineRule="auto"/>
        <w:rPr>
          <w:rFonts w:ascii="Arial" w:hAnsi="Arial" w:cs="Arial"/>
          <w:sz w:val="16"/>
          <w:szCs w:val="16"/>
        </w:rPr>
      </w:pPr>
    </w:p>
    <w:p w14:paraId="0D6DF9A7" w14:textId="77777777" w:rsidR="00B17B48" w:rsidRDefault="00B17B48" w:rsidP="00EC1584">
      <w:pPr>
        <w:spacing w:after="0" w:line="240" w:lineRule="auto"/>
        <w:rPr>
          <w:rFonts w:ascii="Arial" w:hAnsi="Arial" w:cs="Arial"/>
          <w:sz w:val="16"/>
          <w:szCs w:val="16"/>
        </w:rPr>
      </w:pPr>
    </w:p>
    <w:p w14:paraId="4F0F44DF" w14:textId="77777777" w:rsidR="00B17B48" w:rsidRDefault="00B17B48" w:rsidP="00EC1584">
      <w:pPr>
        <w:spacing w:after="0" w:line="240" w:lineRule="auto"/>
        <w:rPr>
          <w:rFonts w:ascii="Arial" w:hAnsi="Arial" w:cs="Arial"/>
          <w:sz w:val="16"/>
          <w:szCs w:val="16"/>
        </w:rPr>
      </w:pPr>
    </w:p>
    <w:p w14:paraId="17D20A9D" w14:textId="77777777" w:rsidR="00B17B48" w:rsidRDefault="00B17B48" w:rsidP="00EC1584">
      <w:pPr>
        <w:spacing w:after="0" w:line="240" w:lineRule="auto"/>
        <w:rPr>
          <w:rFonts w:ascii="Arial" w:hAnsi="Arial" w:cs="Arial"/>
          <w:sz w:val="16"/>
          <w:szCs w:val="16"/>
        </w:rPr>
      </w:pPr>
    </w:p>
    <w:p w14:paraId="6FEDD637" w14:textId="77777777" w:rsidR="00B17B48" w:rsidRDefault="00B17B48" w:rsidP="00EC1584">
      <w:pPr>
        <w:spacing w:after="0" w:line="240" w:lineRule="auto"/>
        <w:rPr>
          <w:rFonts w:ascii="Arial" w:hAnsi="Arial" w:cs="Arial"/>
          <w:sz w:val="16"/>
          <w:szCs w:val="16"/>
        </w:rPr>
      </w:pPr>
    </w:p>
    <w:p w14:paraId="123FEA21" w14:textId="77777777" w:rsidR="00B17B48" w:rsidRDefault="00B17B48" w:rsidP="00EC1584">
      <w:pPr>
        <w:spacing w:after="0" w:line="240" w:lineRule="auto"/>
        <w:rPr>
          <w:rFonts w:ascii="Arial" w:hAnsi="Arial" w:cs="Arial"/>
          <w:sz w:val="16"/>
          <w:szCs w:val="16"/>
        </w:rPr>
      </w:pPr>
    </w:p>
    <w:p w14:paraId="3905A810" w14:textId="77777777" w:rsidR="00B17B48" w:rsidRDefault="00B17B48" w:rsidP="00EC1584">
      <w:pPr>
        <w:spacing w:after="0" w:line="240" w:lineRule="auto"/>
        <w:rPr>
          <w:rFonts w:ascii="Arial" w:hAnsi="Arial" w:cs="Arial"/>
          <w:sz w:val="16"/>
          <w:szCs w:val="16"/>
        </w:rPr>
      </w:pPr>
    </w:p>
    <w:p w14:paraId="290D50DF" w14:textId="77777777" w:rsidR="00B17B48" w:rsidRDefault="00B17B48" w:rsidP="00EC1584">
      <w:pPr>
        <w:spacing w:after="0" w:line="240" w:lineRule="auto"/>
        <w:rPr>
          <w:rFonts w:ascii="Arial" w:hAnsi="Arial" w:cs="Arial"/>
          <w:sz w:val="16"/>
          <w:szCs w:val="16"/>
        </w:rPr>
      </w:pPr>
    </w:p>
    <w:p w14:paraId="7EE4336E" w14:textId="77777777" w:rsidR="00B17B48" w:rsidRDefault="00B17B48" w:rsidP="00EC1584">
      <w:pPr>
        <w:spacing w:after="0" w:line="240" w:lineRule="auto"/>
        <w:rPr>
          <w:rFonts w:ascii="Arial" w:hAnsi="Arial" w:cs="Arial"/>
          <w:sz w:val="16"/>
          <w:szCs w:val="16"/>
        </w:rPr>
      </w:pPr>
    </w:p>
    <w:p w14:paraId="1395FA8D" w14:textId="77777777" w:rsidR="00B17B48" w:rsidRDefault="00B17B48" w:rsidP="00EC1584">
      <w:pPr>
        <w:spacing w:after="0" w:line="240" w:lineRule="auto"/>
        <w:rPr>
          <w:rFonts w:ascii="Arial" w:hAnsi="Arial" w:cs="Arial"/>
          <w:sz w:val="16"/>
          <w:szCs w:val="16"/>
        </w:rPr>
      </w:pPr>
    </w:p>
    <w:p w14:paraId="7BB9A2CC" w14:textId="77777777" w:rsidR="00B17B48" w:rsidRDefault="00B17B48" w:rsidP="00EC1584">
      <w:pPr>
        <w:spacing w:after="0" w:line="240" w:lineRule="auto"/>
        <w:rPr>
          <w:rFonts w:ascii="Arial" w:hAnsi="Arial" w:cs="Arial"/>
          <w:sz w:val="16"/>
          <w:szCs w:val="16"/>
        </w:rPr>
      </w:pPr>
    </w:p>
    <w:p w14:paraId="1BA7796D" w14:textId="77777777" w:rsidR="00B17B48" w:rsidRDefault="00B17B48" w:rsidP="00EC1584">
      <w:pPr>
        <w:spacing w:after="0" w:line="240" w:lineRule="auto"/>
        <w:rPr>
          <w:rFonts w:ascii="Arial" w:hAnsi="Arial" w:cs="Arial"/>
          <w:sz w:val="16"/>
          <w:szCs w:val="16"/>
        </w:rPr>
      </w:pPr>
    </w:p>
    <w:p w14:paraId="02EA1442" w14:textId="77777777" w:rsidR="00B17B48" w:rsidRDefault="00B17B48" w:rsidP="00EC1584">
      <w:pPr>
        <w:spacing w:after="0" w:line="240" w:lineRule="auto"/>
        <w:rPr>
          <w:rFonts w:ascii="Arial" w:hAnsi="Arial" w:cs="Arial"/>
          <w:sz w:val="16"/>
          <w:szCs w:val="16"/>
        </w:rPr>
      </w:pPr>
    </w:p>
    <w:p w14:paraId="6917CA4B" w14:textId="77777777" w:rsidR="00B17B48" w:rsidRDefault="00B17B48" w:rsidP="00EC1584">
      <w:pPr>
        <w:spacing w:after="0" w:line="240" w:lineRule="auto"/>
        <w:rPr>
          <w:rFonts w:ascii="Arial" w:hAnsi="Arial" w:cs="Arial"/>
          <w:sz w:val="16"/>
          <w:szCs w:val="16"/>
        </w:rPr>
      </w:pPr>
    </w:p>
    <w:p w14:paraId="50B8806E" w14:textId="77777777" w:rsidR="00B17B48" w:rsidRDefault="00B17B48" w:rsidP="00EC1584">
      <w:pPr>
        <w:spacing w:after="0" w:line="240" w:lineRule="auto"/>
        <w:rPr>
          <w:rFonts w:ascii="Arial" w:hAnsi="Arial" w:cs="Arial"/>
          <w:sz w:val="16"/>
          <w:szCs w:val="16"/>
        </w:rPr>
      </w:pPr>
    </w:p>
    <w:p w14:paraId="5123DCFE" w14:textId="77777777" w:rsidR="00B17B48" w:rsidRDefault="00B17B48" w:rsidP="00EC1584">
      <w:pPr>
        <w:spacing w:after="0" w:line="240" w:lineRule="auto"/>
        <w:rPr>
          <w:rFonts w:ascii="Arial" w:hAnsi="Arial" w:cs="Arial"/>
          <w:sz w:val="16"/>
          <w:szCs w:val="16"/>
        </w:rPr>
      </w:pPr>
    </w:p>
    <w:p w14:paraId="67E1DEBA" w14:textId="77777777" w:rsidR="00B17B48" w:rsidRDefault="00B17B48" w:rsidP="00EC1584">
      <w:pPr>
        <w:spacing w:after="0" w:line="240" w:lineRule="auto"/>
        <w:rPr>
          <w:rFonts w:ascii="Arial" w:hAnsi="Arial" w:cs="Arial"/>
          <w:sz w:val="16"/>
          <w:szCs w:val="16"/>
        </w:rPr>
      </w:pPr>
    </w:p>
    <w:p w14:paraId="5F2A7955" w14:textId="77777777" w:rsidR="00B17B48" w:rsidRDefault="00B17B48" w:rsidP="00EC1584">
      <w:pPr>
        <w:spacing w:after="0" w:line="240" w:lineRule="auto"/>
        <w:rPr>
          <w:rFonts w:ascii="Arial" w:hAnsi="Arial" w:cs="Arial"/>
          <w:sz w:val="16"/>
          <w:szCs w:val="16"/>
        </w:rPr>
      </w:pPr>
    </w:p>
    <w:p w14:paraId="7B7DA411" w14:textId="77777777" w:rsidR="00B17B48" w:rsidRPr="00B322B3" w:rsidRDefault="00B17B48" w:rsidP="00EC1584">
      <w:pPr>
        <w:spacing w:after="0" w:line="240" w:lineRule="auto"/>
        <w:rPr>
          <w:rFonts w:ascii="Arial" w:hAnsi="Arial" w:cs="Arial"/>
          <w:sz w:val="16"/>
          <w:szCs w:val="16"/>
        </w:rPr>
      </w:pPr>
    </w:p>
    <w:p w14:paraId="09458000" w14:textId="77777777" w:rsidR="00EC1584" w:rsidRDefault="00EC1584" w:rsidP="00EC1584">
      <w:pPr>
        <w:spacing w:after="0" w:line="240" w:lineRule="auto"/>
        <w:rPr>
          <w:rFonts w:ascii="Arial" w:hAnsi="Arial" w:cs="Arial"/>
          <w:sz w:val="16"/>
          <w:szCs w:val="16"/>
        </w:rPr>
      </w:pPr>
    </w:p>
    <w:p w14:paraId="4A4C31AD" w14:textId="77777777" w:rsidR="00EC1584" w:rsidRDefault="00EC1584" w:rsidP="00EC1584">
      <w:pPr>
        <w:spacing w:after="0" w:line="240" w:lineRule="auto"/>
        <w:rPr>
          <w:rFonts w:ascii="Arial" w:hAnsi="Arial" w:cs="Arial"/>
          <w:sz w:val="16"/>
          <w:szCs w:val="16"/>
        </w:rPr>
      </w:pPr>
    </w:p>
    <w:p w14:paraId="63F3982E" w14:textId="09A2DCB3" w:rsidR="00EC1584" w:rsidRDefault="00EC1584" w:rsidP="00EC1584">
      <w:pPr>
        <w:spacing w:after="0" w:line="240" w:lineRule="auto"/>
        <w:rPr>
          <w:rFonts w:ascii="Arial" w:hAnsi="Arial" w:cs="Arial"/>
          <w:sz w:val="16"/>
          <w:szCs w:val="16"/>
        </w:rPr>
      </w:pPr>
    </w:p>
    <w:p w14:paraId="13220C95" w14:textId="77777777" w:rsidR="00EC1584" w:rsidRDefault="00EC1584" w:rsidP="00EC1584">
      <w:pPr>
        <w:rPr>
          <w:rFonts w:ascii="Arial" w:hAnsi="Arial" w:cs="Arial"/>
          <w:sz w:val="16"/>
          <w:szCs w:val="16"/>
        </w:rPr>
      </w:pPr>
    </w:p>
    <w:p w14:paraId="7F60AF24" w14:textId="77777777" w:rsidR="00B17B48" w:rsidRDefault="00B17B48" w:rsidP="00EC1584">
      <w:pPr>
        <w:jc w:val="both"/>
        <w:rPr>
          <w:rFonts w:ascii="Times New Roman" w:hAnsi="Times New Roman" w:cs="Times New Roman"/>
          <w:b/>
          <w:sz w:val="24"/>
        </w:rPr>
      </w:pPr>
    </w:p>
    <w:p w14:paraId="3B2BF6C8" w14:textId="77777777" w:rsidR="00B17B48" w:rsidRDefault="00B17B48" w:rsidP="00EC1584">
      <w:pPr>
        <w:jc w:val="both"/>
        <w:rPr>
          <w:rFonts w:ascii="Times New Roman" w:hAnsi="Times New Roman" w:cs="Times New Roman"/>
          <w:b/>
          <w:sz w:val="24"/>
        </w:rPr>
      </w:pPr>
    </w:p>
    <w:p w14:paraId="6C62A83A" w14:textId="536102BA" w:rsidR="00EC1584" w:rsidRPr="001572A2" w:rsidRDefault="00F60A31" w:rsidP="00EC1584">
      <w:pPr>
        <w:jc w:val="both"/>
        <w:rPr>
          <w:rFonts w:ascii="Times New Roman" w:hAnsi="Times New Roman" w:cs="Times New Roman"/>
          <w:b/>
        </w:rPr>
      </w:pPr>
      <w:r>
        <w:rPr>
          <w:rFonts w:ascii="Times New Roman" w:hAnsi="Times New Roman" w:cs="Times New Roman"/>
          <w:b/>
          <w:sz w:val="24"/>
        </w:rPr>
        <w:t>P</w:t>
      </w:r>
      <w:r w:rsidR="00EC1584" w:rsidRPr="001572A2">
        <w:rPr>
          <w:rFonts w:ascii="Times New Roman" w:hAnsi="Times New Roman" w:cs="Times New Roman"/>
          <w:b/>
          <w:sz w:val="24"/>
        </w:rPr>
        <w:t xml:space="preserve">říloha kupní smlouvy č. </w:t>
      </w:r>
      <w:r w:rsidR="001572A2">
        <w:rPr>
          <w:rFonts w:ascii="Times New Roman" w:hAnsi="Times New Roman" w:cs="Times New Roman"/>
          <w:b/>
          <w:sz w:val="24"/>
        </w:rPr>
        <w:t>3</w:t>
      </w:r>
    </w:p>
    <w:p w14:paraId="1FDCAE69" w14:textId="77777777" w:rsidR="00EC1584" w:rsidRPr="001572A2" w:rsidRDefault="00EC1584" w:rsidP="00EC1584">
      <w:pPr>
        <w:jc w:val="center"/>
        <w:rPr>
          <w:b/>
        </w:rPr>
      </w:pPr>
    </w:p>
    <w:p w14:paraId="701BB700" w14:textId="77777777" w:rsidR="00EC1584" w:rsidRPr="001572A2" w:rsidRDefault="00EC1584" w:rsidP="00EC1584">
      <w:pPr>
        <w:jc w:val="center"/>
        <w:rPr>
          <w:rFonts w:ascii="Times New Roman" w:hAnsi="Times New Roman" w:cs="Times New Roman"/>
          <w:b/>
          <w:sz w:val="24"/>
        </w:rPr>
      </w:pPr>
      <w:r w:rsidRPr="001572A2">
        <w:rPr>
          <w:rFonts w:ascii="Times New Roman" w:hAnsi="Times New Roman" w:cs="Times New Roman"/>
          <w:b/>
          <w:sz w:val="24"/>
        </w:rPr>
        <w:t>Potvrzení prodávajícího</w:t>
      </w:r>
    </w:p>
    <w:p w14:paraId="7248786D" w14:textId="77777777" w:rsidR="00EC1584" w:rsidRPr="001572A2" w:rsidRDefault="00EC1584" w:rsidP="00EC1584">
      <w:pPr>
        <w:jc w:val="center"/>
        <w:rPr>
          <w:rFonts w:ascii="Times New Roman" w:hAnsi="Times New Roman" w:cs="Times New Roman"/>
          <w:b/>
          <w:sz w:val="24"/>
        </w:rPr>
      </w:pPr>
      <w:r w:rsidRPr="001572A2">
        <w:rPr>
          <w:rFonts w:ascii="Times New Roman" w:hAnsi="Times New Roman" w:cs="Times New Roman"/>
          <w:b/>
          <w:sz w:val="24"/>
        </w:rPr>
        <w:t>o určení HW pro český trh</w:t>
      </w:r>
    </w:p>
    <w:p w14:paraId="6140F07F" w14:textId="77777777" w:rsidR="00EC1584" w:rsidRPr="001572A2" w:rsidRDefault="00EC1584" w:rsidP="00EC1584">
      <w:pPr>
        <w:jc w:val="center"/>
        <w:rPr>
          <w:rFonts w:ascii="Times New Roman" w:hAnsi="Times New Roman" w:cs="Times New Roman"/>
          <w:b/>
        </w:rPr>
      </w:pPr>
    </w:p>
    <w:p w14:paraId="13571E91" w14:textId="77777777" w:rsidR="00EC1584" w:rsidRPr="001572A2" w:rsidRDefault="00EC1584" w:rsidP="00EC1584">
      <w:pPr>
        <w:jc w:val="center"/>
        <w:rPr>
          <w:rFonts w:ascii="Times New Roman" w:hAnsi="Times New Roman" w:cs="Times New Roman"/>
        </w:rPr>
      </w:pPr>
      <w:r w:rsidRPr="001572A2">
        <w:rPr>
          <w:rFonts w:ascii="Times New Roman" w:hAnsi="Times New Roman" w:cs="Times New Roman"/>
        </w:rPr>
        <w:t>Potvrzujeme, že:</w:t>
      </w:r>
    </w:p>
    <w:p w14:paraId="103C5FC5" w14:textId="77777777" w:rsidR="00EC1584" w:rsidRPr="001572A2" w:rsidRDefault="00EC1584" w:rsidP="00EC1584">
      <w:pPr>
        <w:jc w:val="center"/>
        <w:rPr>
          <w:rFonts w:ascii="Times New Roman" w:hAnsi="Times New Roman" w:cs="Times New Roman"/>
        </w:rPr>
      </w:pPr>
    </w:p>
    <w:p w14:paraId="319D839F" w14:textId="2F2469FD" w:rsidR="00F60A31" w:rsidRPr="00B322B3" w:rsidRDefault="00EC1584" w:rsidP="00F60A31">
      <w:pPr>
        <w:jc w:val="both"/>
        <w:rPr>
          <w:rFonts w:ascii="Arial" w:hAnsi="Arial" w:cs="Arial"/>
          <w:sz w:val="16"/>
          <w:szCs w:val="16"/>
        </w:rPr>
      </w:pPr>
      <w:r w:rsidRPr="001572A2">
        <w:rPr>
          <w:rFonts w:ascii="Times New Roman" w:hAnsi="Times New Roman" w:cs="Times New Roman"/>
        </w:rPr>
        <w:t xml:space="preserve">nabízené HW zařízení: </w:t>
      </w:r>
      <w:r w:rsidR="001572A2" w:rsidRPr="001572A2">
        <w:rPr>
          <w:rFonts w:ascii="Times New Roman" w:hAnsi="Times New Roman" w:cs="Times New Roman"/>
        </w:rPr>
        <w:t xml:space="preserve">které je specifikováno v příloze </w:t>
      </w:r>
      <w:proofErr w:type="gramStart"/>
      <w:r w:rsidR="001572A2" w:rsidRPr="001572A2">
        <w:rPr>
          <w:rFonts w:ascii="Times New Roman" w:hAnsi="Times New Roman" w:cs="Times New Roman"/>
        </w:rPr>
        <w:t>č.2 smlouvy</w:t>
      </w:r>
      <w:proofErr w:type="gramEnd"/>
      <w:r w:rsidR="001572A2" w:rsidRPr="001572A2">
        <w:rPr>
          <w:rFonts w:ascii="Times New Roman" w:hAnsi="Times New Roman" w:cs="Times New Roman"/>
        </w:rPr>
        <w:t xml:space="preserve"> a je předmětem této smlouvy</w:t>
      </w:r>
      <w:r w:rsidR="00F60A31">
        <w:rPr>
          <w:rFonts w:ascii="Times New Roman" w:hAnsi="Times New Roman" w:cs="Times New Roman"/>
        </w:rPr>
        <w:t xml:space="preserve">: </w:t>
      </w:r>
      <w:r w:rsidR="001572A2" w:rsidRPr="001572A2">
        <w:rPr>
          <w:rFonts w:ascii="Times New Roman" w:hAnsi="Times New Roman" w:cs="Times New Roman"/>
        </w:rPr>
        <w:t xml:space="preserve"> </w:t>
      </w:r>
    </w:p>
    <w:p w14:paraId="02CF274F" w14:textId="77777777" w:rsidR="00F60A31" w:rsidRPr="00F60A31" w:rsidRDefault="00F60A31" w:rsidP="00F60A31">
      <w:pPr>
        <w:rPr>
          <w:rFonts w:ascii="Times New Roman" w:hAnsi="Times New Roman" w:cs="Times New Roman"/>
        </w:rPr>
      </w:pPr>
      <w:r w:rsidRPr="00F60A31">
        <w:rPr>
          <w:rFonts w:ascii="Times New Roman" w:hAnsi="Times New Roman" w:cs="Times New Roman"/>
        </w:rPr>
        <w:t>- pochází výhradně z autorizovaného prodejního kanálu výrobce;</w:t>
      </w:r>
    </w:p>
    <w:p w14:paraId="6023AC2F" w14:textId="77777777" w:rsidR="00F60A31" w:rsidRPr="00F60A31" w:rsidRDefault="00F60A31" w:rsidP="00F60A31">
      <w:pPr>
        <w:rPr>
          <w:rFonts w:ascii="Times New Roman" w:hAnsi="Times New Roman" w:cs="Times New Roman"/>
        </w:rPr>
      </w:pPr>
      <w:r w:rsidRPr="00F60A31">
        <w:rPr>
          <w:rFonts w:ascii="Times New Roman" w:hAnsi="Times New Roman" w:cs="Times New Roman"/>
        </w:rPr>
        <w:t>- jsou zařaditelné pod záruku výrobce;</w:t>
      </w:r>
    </w:p>
    <w:p w14:paraId="5391608A" w14:textId="77777777" w:rsidR="00F60A31" w:rsidRPr="00F60A31" w:rsidRDefault="00F60A31" w:rsidP="00F60A31">
      <w:pPr>
        <w:rPr>
          <w:rFonts w:ascii="Times New Roman" w:hAnsi="Times New Roman" w:cs="Times New Roman"/>
        </w:rPr>
      </w:pPr>
      <w:r w:rsidRPr="00F60A31">
        <w:rPr>
          <w:rFonts w:ascii="Times New Roman" w:hAnsi="Times New Roman" w:cs="Times New Roman"/>
        </w:rPr>
        <w:t xml:space="preserve">- mohou být výrobcem podporovány v souladu se servisními a </w:t>
      </w:r>
      <w:proofErr w:type="spellStart"/>
      <w:r w:rsidRPr="00F60A31">
        <w:rPr>
          <w:rFonts w:ascii="Times New Roman" w:hAnsi="Times New Roman" w:cs="Times New Roman"/>
        </w:rPr>
        <w:t>supportními</w:t>
      </w:r>
      <w:proofErr w:type="spellEnd"/>
      <w:r w:rsidRPr="00F60A31">
        <w:rPr>
          <w:rFonts w:ascii="Times New Roman" w:hAnsi="Times New Roman" w:cs="Times New Roman"/>
        </w:rPr>
        <w:t xml:space="preserve"> podmínkami výrobce;</w:t>
      </w:r>
    </w:p>
    <w:p w14:paraId="0B317A55" w14:textId="77777777" w:rsidR="00F60A31" w:rsidRPr="00F60A31" w:rsidRDefault="00F60A31" w:rsidP="00F60A31">
      <w:pPr>
        <w:rPr>
          <w:rFonts w:ascii="Times New Roman" w:hAnsi="Times New Roman" w:cs="Times New Roman"/>
        </w:rPr>
      </w:pPr>
      <w:r w:rsidRPr="00F60A31">
        <w:rPr>
          <w:rFonts w:ascii="Times New Roman" w:hAnsi="Times New Roman" w:cs="Times New Roman"/>
        </w:rPr>
        <w:t>- jsou licencovány na Zadavatele jakožto koncového uživatele;</w:t>
      </w:r>
    </w:p>
    <w:p w14:paraId="042ECD73" w14:textId="77777777" w:rsidR="00F60A31" w:rsidRPr="00F60A31" w:rsidRDefault="00F60A31" w:rsidP="00F60A31">
      <w:pPr>
        <w:rPr>
          <w:rFonts w:ascii="Times New Roman" w:hAnsi="Times New Roman" w:cs="Times New Roman"/>
        </w:rPr>
      </w:pPr>
      <w:r w:rsidRPr="00F60A31">
        <w:rPr>
          <w:rFonts w:ascii="Times New Roman" w:hAnsi="Times New Roman" w:cs="Times New Roman"/>
        </w:rPr>
        <w:t>- informace o prodeji jsou reportovány zpět výrobci s uvedením Zadavatele jako koncového uživatele.</w:t>
      </w:r>
    </w:p>
    <w:p w14:paraId="063391D6" w14:textId="77777777" w:rsidR="00EC1584" w:rsidRPr="004A5BF1" w:rsidRDefault="00EC1584" w:rsidP="00EC1584">
      <w:pPr>
        <w:jc w:val="both"/>
        <w:rPr>
          <w:rFonts w:ascii="Times New Roman" w:hAnsi="Times New Roman" w:cs="Times New Roman"/>
          <w:b/>
        </w:rPr>
      </w:pPr>
    </w:p>
    <w:p w14:paraId="036E6AA7" w14:textId="17116511"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bookmarkStart w:id="6" w:name="OLE_LINK10"/>
      <w:r>
        <w:rPr>
          <w:rFonts w:ascii="Times New Roman" w:eastAsia="Times New Roman" w:hAnsi="Times New Roman" w:cs="Times New Roman"/>
          <w:sz w:val="24"/>
          <w:szCs w:val="24"/>
          <w:lang w:eastAsia="cs-CZ"/>
        </w:rPr>
        <w:t>V </w:t>
      </w:r>
      <w:r w:rsidR="00D30F21">
        <w:rPr>
          <w:rFonts w:ascii="Times New Roman" w:eastAsia="Times New Roman" w:hAnsi="Times New Roman" w:cs="Times New Roman"/>
          <w:sz w:val="24"/>
          <w:szCs w:val="24"/>
          <w:lang w:eastAsia="cs-CZ"/>
        </w:rPr>
        <w:t>………</w:t>
      </w:r>
      <w:r w:rsidR="009327B8">
        <w:rPr>
          <w:rFonts w:ascii="Times New Roman" w:eastAsia="Times New Roman" w:hAnsi="Times New Roman" w:cs="Times New Roman"/>
          <w:sz w:val="24"/>
          <w:szCs w:val="24"/>
          <w:lang w:eastAsia="cs-CZ"/>
        </w:rPr>
        <w:t>……….</w:t>
      </w:r>
      <w:r w:rsidR="00D30F2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dne:</w:t>
      </w:r>
    </w:p>
    <w:p w14:paraId="3DFE4D14" w14:textId="77777777"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p>
    <w:p w14:paraId="5FDFCBE2"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p>
    <w:p w14:paraId="279D9237"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p>
    <w:p w14:paraId="62FF1E25"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p>
    <w:p w14:paraId="70346D4C" w14:textId="77777777" w:rsidR="00EC1584" w:rsidRPr="00B63076" w:rsidRDefault="00EC1584" w:rsidP="00EC1584">
      <w:pPr>
        <w:spacing w:after="0" w:line="240" w:lineRule="auto"/>
        <w:jc w:val="both"/>
        <w:rPr>
          <w:rFonts w:ascii="Times New Roman" w:eastAsia="Times New Roman" w:hAnsi="Times New Roman" w:cs="Times New Roman"/>
          <w:bCs/>
          <w:sz w:val="24"/>
          <w:szCs w:val="24"/>
          <w:lang w:eastAsia="cs-CZ"/>
        </w:rPr>
      </w:pPr>
      <w:r w:rsidRPr="00B63076">
        <w:rPr>
          <w:rFonts w:ascii="Times New Roman" w:eastAsia="Times New Roman" w:hAnsi="Times New Roman" w:cs="Times New Roman"/>
          <w:bCs/>
          <w:sz w:val="24"/>
          <w:szCs w:val="24"/>
          <w:lang w:eastAsia="cs-CZ"/>
        </w:rPr>
        <w:t>…………………………………..</w:t>
      </w:r>
    </w:p>
    <w:p w14:paraId="27B13010" w14:textId="0000ADAF" w:rsidR="00EC1584" w:rsidRDefault="00EC1584" w:rsidP="00EC1584">
      <w:pPr>
        <w:spacing w:after="0" w:line="240" w:lineRule="auto"/>
        <w:jc w:val="both"/>
        <w:rPr>
          <w:rFonts w:ascii="Times New Roman" w:eastAsia="Times New Roman" w:hAnsi="Times New Roman" w:cs="Times New Roman"/>
          <w:sz w:val="24"/>
          <w:szCs w:val="24"/>
          <w:lang w:eastAsia="cs-CZ"/>
        </w:rPr>
      </w:pPr>
    </w:p>
    <w:p w14:paraId="538DAE01" w14:textId="77777777" w:rsidR="00EC1584" w:rsidRPr="00B63076" w:rsidRDefault="00EC1584" w:rsidP="00EC1584">
      <w:pPr>
        <w:spacing w:after="0" w:line="240" w:lineRule="auto"/>
        <w:jc w:val="both"/>
        <w:rPr>
          <w:rFonts w:ascii="Times New Roman" w:eastAsia="Times New Roman" w:hAnsi="Times New Roman" w:cs="Times New Roman"/>
          <w:sz w:val="24"/>
          <w:szCs w:val="24"/>
          <w:lang w:eastAsia="cs-CZ"/>
        </w:rPr>
      </w:pPr>
      <w:r w:rsidRPr="00B63076">
        <w:rPr>
          <w:rFonts w:ascii="Times New Roman" w:eastAsia="Times New Roman" w:hAnsi="Times New Roman" w:cs="Times New Roman"/>
          <w:sz w:val="24"/>
          <w:szCs w:val="24"/>
          <w:lang w:eastAsia="cs-CZ"/>
        </w:rPr>
        <w:t>Prodávající</w:t>
      </w:r>
    </w:p>
    <w:bookmarkEnd w:id="6"/>
    <w:p w14:paraId="7D592E2E" w14:textId="77777777" w:rsidR="00EC1584" w:rsidRPr="00B63076" w:rsidRDefault="00EC1584" w:rsidP="00EC1584">
      <w:pPr>
        <w:spacing w:after="0" w:line="240" w:lineRule="auto"/>
        <w:jc w:val="center"/>
        <w:rPr>
          <w:rFonts w:ascii="Times New Roman" w:eastAsia="Times New Roman" w:hAnsi="Times New Roman" w:cs="Times New Roman"/>
          <w:sz w:val="24"/>
          <w:szCs w:val="24"/>
          <w:lang w:eastAsia="cs-CZ"/>
        </w:rPr>
      </w:pPr>
    </w:p>
    <w:sectPr w:rsidR="00EC1584" w:rsidRPr="00B630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6AD4" w14:textId="77777777" w:rsidR="00E70D48" w:rsidRDefault="00E70D48" w:rsidP="00FC73AE">
      <w:pPr>
        <w:spacing w:after="0" w:line="240" w:lineRule="auto"/>
      </w:pPr>
      <w:r>
        <w:separator/>
      </w:r>
    </w:p>
  </w:endnote>
  <w:endnote w:type="continuationSeparator" w:id="0">
    <w:p w14:paraId="714818B2" w14:textId="77777777" w:rsidR="00E70D48" w:rsidRDefault="00E70D48" w:rsidP="00FC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6016"/>
      <w:docPartObj>
        <w:docPartGallery w:val="Page Numbers (Bottom of Page)"/>
        <w:docPartUnique/>
      </w:docPartObj>
    </w:sdtPr>
    <w:sdtEndPr/>
    <w:sdtContent>
      <w:sdt>
        <w:sdtPr>
          <w:id w:val="1185175557"/>
          <w:docPartObj>
            <w:docPartGallery w:val="Page Numbers (Top of Page)"/>
            <w:docPartUnique/>
          </w:docPartObj>
        </w:sdtPr>
        <w:sdtEndPr/>
        <w:sdtContent>
          <w:p w14:paraId="3326C89F" w14:textId="76BE78DB" w:rsidR="0021079F" w:rsidRDefault="0021079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64F9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64F9B">
              <w:rPr>
                <w:b/>
                <w:bCs/>
                <w:noProof/>
              </w:rPr>
              <w:t>10</w:t>
            </w:r>
            <w:r>
              <w:rPr>
                <w:b/>
                <w:bCs/>
                <w:sz w:val="24"/>
                <w:szCs w:val="24"/>
              </w:rPr>
              <w:fldChar w:fldCharType="end"/>
            </w:r>
          </w:p>
        </w:sdtContent>
      </w:sdt>
    </w:sdtContent>
  </w:sdt>
  <w:p w14:paraId="3326C8A0" w14:textId="77777777" w:rsidR="0021079F" w:rsidRDefault="002107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81AB" w14:textId="77777777" w:rsidR="00E70D48" w:rsidRDefault="00E70D48" w:rsidP="00FC73AE">
      <w:pPr>
        <w:spacing w:after="0" w:line="240" w:lineRule="auto"/>
      </w:pPr>
      <w:r>
        <w:separator/>
      </w:r>
    </w:p>
  </w:footnote>
  <w:footnote w:type="continuationSeparator" w:id="0">
    <w:p w14:paraId="26934833" w14:textId="77777777" w:rsidR="00E70D48" w:rsidRDefault="00E70D48" w:rsidP="00FC7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B2C"/>
    <w:multiLevelType w:val="hybridMultilevel"/>
    <w:tmpl w:val="0F06A398"/>
    <w:lvl w:ilvl="0" w:tplc="1E9EF8A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E45602"/>
    <w:multiLevelType w:val="hybridMultilevel"/>
    <w:tmpl w:val="8CA4E94A"/>
    <w:lvl w:ilvl="0" w:tplc="6ACEBDC8">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8763E"/>
    <w:multiLevelType w:val="hybridMultilevel"/>
    <w:tmpl w:val="F7D0AE50"/>
    <w:lvl w:ilvl="0" w:tplc="5016CE0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B73D23"/>
    <w:multiLevelType w:val="hybridMultilevel"/>
    <w:tmpl w:val="404E42B0"/>
    <w:lvl w:ilvl="0" w:tplc="9DA07ECE">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58933CF"/>
    <w:multiLevelType w:val="hybridMultilevel"/>
    <w:tmpl w:val="A76EB81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295F68F9"/>
    <w:multiLevelType w:val="hybridMultilevel"/>
    <w:tmpl w:val="46664B30"/>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6" w15:restartNumberingAfterBreak="0">
    <w:nsid w:val="2BB7430B"/>
    <w:multiLevelType w:val="hybridMultilevel"/>
    <w:tmpl w:val="55A2C260"/>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8652767"/>
    <w:multiLevelType w:val="hybridMultilevel"/>
    <w:tmpl w:val="13003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276BE4"/>
    <w:multiLevelType w:val="hybridMultilevel"/>
    <w:tmpl w:val="A8DA34C0"/>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1657162"/>
    <w:multiLevelType w:val="hybridMultilevel"/>
    <w:tmpl w:val="AE686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1278AE"/>
    <w:multiLevelType w:val="hybridMultilevel"/>
    <w:tmpl w:val="101EC3DC"/>
    <w:lvl w:ilvl="0" w:tplc="3C80823E">
      <w:start w:val="1"/>
      <w:numFmt w:val="decimal"/>
      <w:lvlText w:val="%1."/>
      <w:lvlJc w:val="left"/>
      <w:pPr>
        <w:tabs>
          <w:tab w:val="num" w:pos="363"/>
        </w:tabs>
        <w:ind w:left="363" w:hanging="363"/>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11" w15:restartNumberingAfterBreak="0">
    <w:nsid w:val="70176B2A"/>
    <w:multiLevelType w:val="hybridMultilevel"/>
    <w:tmpl w:val="906E786C"/>
    <w:lvl w:ilvl="0" w:tplc="550E815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3752CC"/>
    <w:multiLevelType w:val="hybridMultilevel"/>
    <w:tmpl w:val="4CAE1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DF5708"/>
    <w:multiLevelType w:val="hybridMultilevel"/>
    <w:tmpl w:val="4510E73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1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3"/>
  </w:num>
  <w:num w:numId="11">
    <w:abstractNumId w:val="4"/>
  </w:num>
  <w:num w:numId="12">
    <w:abstractNumId w:val="13"/>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76"/>
    <w:rsid w:val="00000ADF"/>
    <w:rsid w:val="000032F8"/>
    <w:rsid w:val="00045FE7"/>
    <w:rsid w:val="000C0145"/>
    <w:rsid w:val="000C067F"/>
    <w:rsid w:val="000C3A77"/>
    <w:rsid w:val="000D0158"/>
    <w:rsid w:val="001572A2"/>
    <w:rsid w:val="0017337B"/>
    <w:rsid w:val="001934E3"/>
    <w:rsid w:val="001B4D99"/>
    <w:rsid w:val="0021079F"/>
    <w:rsid w:val="00214A01"/>
    <w:rsid w:val="002320AE"/>
    <w:rsid w:val="00237964"/>
    <w:rsid w:val="00264F9B"/>
    <w:rsid w:val="00274AFC"/>
    <w:rsid w:val="00293DCB"/>
    <w:rsid w:val="002A5366"/>
    <w:rsid w:val="002B7EA7"/>
    <w:rsid w:val="003365DC"/>
    <w:rsid w:val="003627BE"/>
    <w:rsid w:val="003726C7"/>
    <w:rsid w:val="00380D8A"/>
    <w:rsid w:val="003B4D1B"/>
    <w:rsid w:val="003D1B6E"/>
    <w:rsid w:val="00413A86"/>
    <w:rsid w:val="004844B2"/>
    <w:rsid w:val="00486F83"/>
    <w:rsid w:val="004A5BF1"/>
    <w:rsid w:val="004D7DC6"/>
    <w:rsid w:val="004F362C"/>
    <w:rsid w:val="00516C46"/>
    <w:rsid w:val="005A68D0"/>
    <w:rsid w:val="005B54C4"/>
    <w:rsid w:val="006F445E"/>
    <w:rsid w:val="00795BD3"/>
    <w:rsid w:val="007A0A3D"/>
    <w:rsid w:val="007D16A8"/>
    <w:rsid w:val="007E1868"/>
    <w:rsid w:val="007F01BA"/>
    <w:rsid w:val="00861A0D"/>
    <w:rsid w:val="00890743"/>
    <w:rsid w:val="008B65F2"/>
    <w:rsid w:val="008C59E8"/>
    <w:rsid w:val="008D71C8"/>
    <w:rsid w:val="008E2F49"/>
    <w:rsid w:val="008F6E67"/>
    <w:rsid w:val="00922F91"/>
    <w:rsid w:val="009327B8"/>
    <w:rsid w:val="00935998"/>
    <w:rsid w:val="00966D03"/>
    <w:rsid w:val="00980C89"/>
    <w:rsid w:val="009C335A"/>
    <w:rsid w:val="00A06544"/>
    <w:rsid w:val="00A35861"/>
    <w:rsid w:val="00AB77AE"/>
    <w:rsid w:val="00AC42A0"/>
    <w:rsid w:val="00AF0736"/>
    <w:rsid w:val="00B17B48"/>
    <w:rsid w:val="00B478CD"/>
    <w:rsid w:val="00B51B8F"/>
    <w:rsid w:val="00B63076"/>
    <w:rsid w:val="00B660EB"/>
    <w:rsid w:val="00B74E89"/>
    <w:rsid w:val="00B874DD"/>
    <w:rsid w:val="00BA0BE9"/>
    <w:rsid w:val="00BE3AEE"/>
    <w:rsid w:val="00C16F17"/>
    <w:rsid w:val="00D25EE2"/>
    <w:rsid w:val="00D30F21"/>
    <w:rsid w:val="00D311EF"/>
    <w:rsid w:val="00D430A9"/>
    <w:rsid w:val="00D47E13"/>
    <w:rsid w:val="00D662D8"/>
    <w:rsid w:val="00DE288E"/>
    <w:rsid w:val="00E00FE1"/>
    <w:rsid w:val="00E266D6"/>
    <w:rsid w:val="00E70D48"/>
    <w:rsid w:val="00E76FCC"/>
    <w:rsid w:val="00EC1584"/>
    <w:rsid w:val="00EC7913"/>
    <w:rsid w:val="00F25471"/>
    <w:rsid w:val="00F26B18"/>
    <w:rsid w:val="00F3277A"/>
    <w:rsid w:val="00F60A31"/>
    <w:rsid w:val="00F81047"/>
    <w:rsid w:val="00F92DD2"/>
    <w:rsid w:val="00FB29E0"/>
    <w:rsid w:val="00FC71A4"/>
    <w:rsid w:val="00FC7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6CB"/>
  <w15:docId w15:val="{BFF0DFFB-28A3-45BF-80BF-71BACFAD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4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30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3076"/>
    <w:rPr>
      <w:rFonts w:ascii="Tahoma" w:hAnsi="Tahoma" w:cs="Tahoma"/>
      <w:sz w:val="16"/>
      <w:szCs w:val="16"/>
    </w:rPr>
  </w:style>
  <w:style w:type="paragraph" w:styleId="Zhlav">
    <w:name w:val="header"/>
    <w:basedOn w:val="Normln"/>
    <w:link w:val="ZhlavChar"/>
    <w:uiPriority w:val="99"/>
    <w:unhideWhenUsed/>
    <w:rsid w:val="00FC73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3AE"/>
  </w:style>
  <w:style w:type="paragraph" w:styleId="Zpat">
    <w:name w:val="footer"/>
    <w:basedOn w:val="Normln"/>
    <w:link w:val="ZpatChar"/>
    <w:uiPriority w:val="99"/>
    <w:unhideWhenUsed/>
    <w:rsid w:val="00FC73AE"/>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3AE"/>
  </w:style>
  <w:style w:type="table" w:customStyle="1" w:styleId="Mkatabulky1">
    <w:name w:val="Mřížka tabulky1"/>
    <w:basedOn w:val="Normlntabulka"/>
    <w:next w:val="Mkatabulky"/>
    <w:rsid w:val="006F445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sid w:val="006F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0743"/>
    <w:pPr>
      <w:ind w:left="720"/>
      <w:contextualSpacing/>
    </w:pPr>
  </w:style>
  <w:style w:type="character" w:styleId="Hypertextovodkaz">
    <w:name w:val="Hyperlink"/>
    <w:basedOn w:val="Standardnpsmoodstavce"/>
    <w:uiPriority w:val="99"/>
    <w:unhideWhenUsed/>
    <w:rsid w:val="00237964"/>
    <w:rPr>
      <w:color w:val="0000FF" w:themeColor="hyperlink"/>
      <w:u w:val="single"/>
    </w:rPr>
  </w:style>
  <w:style w:type="paragraph" w:styleId="Bezmezer">
    <w:name w:val="No Spacing"/>
    <w:uiPriority w:val="1"/>
    <w:qFormat/>
    <w:rsid w:val="00EC1584"/>
    <w:pPr>
      <w:spacing w:after="0" w:line="240" w:lineRule="auto"/>
    </w:pPr>
    <w:rPr>
      <w:rFonts w:ascii="Calibri" w:eastAsia="Calibri" w:hAnsi="Calibri" w:cs="Times New Roman"/>
    </w:rPr>
  </w:style>
  <w:style w:type="paragraph" w:customStyle="1" w:styleId="Default">
    <w:name w:val="Default"/>
    <w:rsid w:val="00EC158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4797">
      <w:bodyDiv w:val="1"/>
      <w:marLeft w:val="0"/>
      <w:marRight w:val="0"/>
      <w:marTop w:val="0"/>
      <w:marBottom w:val="0"/>
      <w:divBdr>
        <w:top w:val="none" w:sz="0" w:space="0" w:color="auto"/>
        <w:left w:val="none" w:sz="0" w:space="0" w:color="auto"/>
        <w:bottom w:val="none" w:sz="0" w:space="0" w:color="auto"/>
        <w:right w:val="none" w:sz="0" w:space="0" w:color="auto"/>
      </w:divBdr>
    </w:div>
    <w:div w:id="1147818753">
      <w:bodyDiv w:val="1"/>
      <w:marLeft w:val="0"/>
      <w:marRight w:val="0"/>
      <w:marTop w:val="0"/>
      <w:marBottom w:val="0"/>
      <w:divBdr>
        <w:top w:val="none" w:sz="0" w:space="0" w:color="auto"/>
        <w:left w:val="none" w:sz="0" w:space="0" w:color="auto"/>
        <w:bottom w:val="none" w:sz="0" w:space="0" w:color="auto"/>
        <w:right w:val="none" w:sz="0" w:space="0" w:color="auto"/>
      </w:divBdr>
    </w:div>
    <w:div w:id="1177303747">
      <w:bodyDiv w:val="1"/>
      <w:marLeft w:val="0"/>
      <w:marRight w:val="0"/>
      <w:marTop w:val="0"/>
      <w:marBottom w:val="0"/>
      <w:divBdr>
        <w:top w:val="none" w:sz="0" w:space="0" w:color="auto"/>
        <w:left w:val="none" w:sz="0" w:space="0" w:color="auto"/>
        <w:bottom w:val="none" w:sz="0" w:space="0" w:color="auto"/>
        <w:right w:val="none" w:sz="0" w:space="0" w:color="auto"/>
      </w:divBdr>
    </w:div>
    <w:div w:id="1801024961">
      <w:bodyDiv w:val="1"/>
      <w:marLeft w:val="0"/>
      <w:marRight w:val="0"/>
      <w:marTop w:val="0"/>
      <w:marBottom w:val="0"/>
      <w:divBdr>
        <w:top w:val="none" w:sz="0" w:space="0" w:color="auto"/>
        <w:left w:val="none" w:sz="0" w:space="0" w:color="auto"/>
        <w:bottom w:val="none" w:sz="0" w:space="0" w:color="auto"/>
        <w:right w:val="none" w:sz="0" w:space="0" w:color="auto"/>
      </w:divBdr>
    </w:div>
    <w:div w:id="2024745267">
      <w:bodyDiv w:val="1"/>
      <w:marLeft w:val="0"/>
      <w:marRight w:val="0"/>
      <w:marTop w:val="0"/>
      <w:marBottom w:val="0"/>
      <w:divBdr>
        <w:top w:val="none" w:sz="0" w:space="0" w:color="auto"/>
        <w:left w:val="none" w:sz="0" w:space="0" w:color="auto"/>
        <w:bottom w:val="none" w:sz="0" w:space="0" w:color="auto"/>
        <w:right w:val="none" w:sz="0" w:space="0" w:color="auto"/>
      </w:divBdr>
    </w:div>
    <w:div w:id="20406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ko@libereckais.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D425936F58724F900E19675345F5C0" ma:contentTypeVersion="0" ma:contentTypeDescription="Vytvoří nový dokument" ma:contentTypeScope="" ma:versionID="266575b882b801ce93b1339e1779f20b">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85A8E-0C7A-4B37-8ABA-E9054AEAA5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02E336-7805-4CE2-B599-3D0A6D13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AB5D06-661B-4DD9-B0BB-CFB4554B4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2607</Words>
  <Characters>15385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Hofmeister Tomáš</dc:creator>
  <cp:lastModifiedBy>Palečková Hedvika</cp:lastModifiedBy>
  <cp:revision>7</cp:revision>
  <cp:lastPrinted>2017-09-25T12:58:00Z</cp:lastPrinted>
  <dcterms:created xsi:type="dcterms:W3CDTF">2016-11-30T07:07:00Z</dcterms:created>
  <dcterms:modified xsi:type="dcterms:W3CDTF">2018-11-21T14:14:00Z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0x010100CDD425936F58724F900E19675345F5C0</vt:lpwstr>
  </property>
</Properties>
</file>